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0DC4C" w14:textId="0A86FA0D" w:rsidR="0086704C" w:rsidRDefault="00B77844" w:rsidP="0086704C">
      <w:pPr>
        <w:pStyle w:val="Tittel"/>
      </w:pPr>
      <w:r>
        <w:t>Retningslinjer</w:t>
      </w:r>
      <w:r w:rsidR="0086704C">
        <w:t xml:space="preserve"> og begrunnelse for sladding av tilbud</w:t>
      </w:r>
    </w:p>
    <w:p w14:paraId="47702D58" w14:textId="77777777" w:rsidR="0086704C" w:rsidRDefault="0086704C" w:rsidP="0086704C"/>
    <w:p w14:paraId="4523C06B" w14:textId="77777777" w:rsidR="00FF52D8" w:rsidRDefault="00000000">
      <w:pPr>
        <w:pStyle w:val="Overskrift1"/>
        <w:rPr>
          <w:rFonts w:asciiTheme="minorHAnsi" w:hAnsiTheme="minorHAnsi" w:cstheme="minorBidi"/>
        </w:rPr>
      </w:pPr>
      <w:r w:rsidRPr="007C5E6C">
        <w:rPr>
          <w:rFonts w:asciiTheme="minorHAnsi" w:hAnsiTheme="minorHAnsi" w:cstheme="minorBidi"/>
        </w:rPr>
        <w:t>Kort oppsummert for leverandøren</w:t>
      </w:r>
    </w:p>
    <w:p w14:paraId="4ECB17A4" w14:textId="77777777" w:rsidR="00FF52D8" w:rsidRPr="00200A6B" w:rsidRDefault="00000000" w:rsidP="00205353">
      <w:r>
        <w:t>L</w:t>
      </w:r>
      <w:r>
        <w:t xml:space="preserve">everandøren skal levere både </w:t>
      </w:r>
      <w:r w:rsidRPr="00BF3383">
        <w:t xml:space="preserve">en </w:t>
      </w:r>
      <w:r>
        <w:t xml:space="preserve">fullstendig og </w:t>
      </w:r>
      <w:r w:rsidRPr="00BF3383">
        <w:t xml:space="preserve">en </w:t>
      </w:r>
      <w:r>
        <w:t>sladdet versjon av tilbudet.</w:t>
      </w:r>
    </w:p>
    <w:p w14:paraId="375D16A5" w14:textId="77777777" w:rsidR="00FF52D8" w:rsidRPr="00200A6B" w:rsidRDefault="00000000" w:rsidP="00941291">
      <w:r>
        <w:t>Det skal kun sladdes opplysninger som konkret kan begrunnes som taushetsbelagte eller unntatt fra innsyn etter gjeldende regelverk.</w:t>
      </w:r>
    </w:p>
    <w:p w14:paraId="6C0D6949" w14:textId="77777777" w:rsidR="00FF52D8" w:rsidRPr="00200A6B" w:rsidRDefault="00000000" w:rsidP="003932AB">
      <w:r>
        <w:t xml:space="preserve">Sladdingen skal begrunnes i tabellen i punkt </w:t>
      </w:r>
      <w:r w:rsidRPr="00D8034C">
        <w:t>3</w:t>
      </w:r>
      <w:r>
        <w:t>, med tydelig henvisning til dokument, punkt eller side og aktuell hjemmel.</w:t>
      </w:r>
    </w:p>
    <w:p w14:paraId="2B9F77B1" w14:textId="77777777" w:rsidR="00FF52D8" w:rsidRPr="00200A6B" w:rsidRDefault="00000000" w:rsidP="00543DE2">
      <w:r>
        <w:t>Sladdingen skal være teknisk irreversibel, slik at opplysningene ikke kan kopieres, søkes frem eller gjenopprettes.</w:t>
      </w:r>
    </w:p>
    <w:p w14:paraId="38486AE6" w14:textId="77777777" w:rsidR="00FF52D8" w:rsidRPr="00200A6B" w:rsidRDefault="00000000" w:rsidP="00AB2F7F">
      <w:r>
        <w:t>Dokumentets struktur, sidetall, overskrifter og omfang skal beholdes</w:t>
      </w:r>
      <w:r w:rsidRPr="00AD156D">
        <w:t>,</w:t>
      </w:r>
      <w:r>
        <w:t xml:space="preserve"> slik at innsynssøker kan se tilbudets oppbygning.</w:t>
      </w:r>
    </w:p>
    <w:p w14:paraId="363FCF93" w14:textId="77777777" w:rsidR="00FF52D8" w:rsidRDefault="00000000">
      <w:pPr>
        <w:pStyle w:val="Overskrift1"/>
        <w:rPr>
          <w:rFonts w:asciiTheme="minorHAnsi" w:hAnsiTheme="minorHAnsi" w:cstheme="minorBidi"/>
        </w:rPr>
      </w:pPr>
      <w:r w:rsidRPr="00947FC6">
        <w:rPr>
          <w:rFonts w:asciiTheme="minorHAnsi" w:hAnsiTheme="minorHAnsi" w:cstheme="minorBidi"/>
        </w:rPr>
        <w:t>Bruksanvisning for sladding av tilbud</w:t>
      </w:r>
    </w:p>
    <w:p w14:paraId="08374980" w14:textId="77777777" w:rsidR="00FF52D8" w:rsidRPr="00200A6B" w:rsidRDefault="00380BBB" w:rsidP="004F3B75">
      <w:pPr>
        <w:pStyle w:val="Overskrift4"/>
        <w:numPr>
          <w:ilvl w:val="0"/>
          <w:numId w:val="0"/>
        </w:numPr>
        <w:ind w:left="864"/>
      </w:pPr>
      <w:r w:rsidRPr="00380BBB">
        <w:t xml:space="preserve">2.1 </w:t>
      </w:r>
      <w:r w:rsidR="00000000" w:rsidRPr="001B0ECC">
        <w:t>Innledning</w:t>
      </w:r>
    </w:p>
    <w:p w14:paraId="49DB6432" w14:textId="77777777" w:rsidR="00FF52D8" w:rsidRPr="00200A6B" w:rsidRDefault="00000000" w:rsidP="0023358F">
      <w:r>
        <w:t>D</w:t>
      </w:r>
      <w:r>
        <w:t>et følger av forskrift</w:t>
      </w:r>
      <w:r>
        <w:t xml:space="preserve"> om offentlige anskaffelser av 12. august 2016 (FOA</w:t>
      </w:r>
      <w:r w:rsidRPr="00DA7552">
        <w:t>)</w:t>
      </w:r>
      <w:r>
        <w:t xml:space="preserve">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w:t>
      </w:r>
      <w:r w:rsidRPr="00DA7552">
        <w:t xml:space="preserve"> </w:t>
      </w:r>
      <w:r>
        <w:t>mai 2006 nr. 16 (</w:t>
      </w:r>
      <w:proofErr w:type="spellStart"/>
      <w:r w:rsidRPr="00DA7552">
        <w:t>offentleglova</w:t>
      </w:r>
      <w:proofErr w:type="spellEnd"/>
      <w:r w:rsidRPr="00DA7552">
        <w:t>)</w:t>
      </w:r>
      <w:r>
        <w:t xml:space="preserve"> har som formål å styrke retten til innsyn i saksdokumenter i forvaltningen. </w:t>
      </w:r>
      <w:r w:rsidRPr="00DA7552">
        <w:t>Hovedregelen er at</w:t>
      </w:r>
      <w:r>
        <w:t xml:space="preserve"> allmennheten </w:t>
      </w:r>
      <w:r w:rsidRPr="00DA7552">
        <w:t xml:space="preserve">har rett </w:t>
      </w:r>
      <w:r>
        <w:t xml:space="preserve">til å gjøre seg kjent med innholdet </w:t>
      </w:r>
      <w:r w:rsidRPr="00DA7552">
        <w:t>i</w:t>
      </w:r>
      <w:r>
        <w:t xml:space="preserve"> saksdokumenter i offentlig virksomhet. Unntak fra denne retten krever hjemmel i </w:t>
      </w:r>
      <w:proofErr w:type="spellStart"/>
      <w:r>
        <w:t>offentleglova</w:t>
      </w:r>
      <w:proofErr w:type="spellEnd"/>
      <w:r>
        <w:t xml:space="preserve"> selv eller </w:t>
      </w:r>
      <w:r w:rsidRPr="00DA7552">
        <w:t xml:space="preserve">i </w:t>
      </w:r>
      <w:r>
        <w:t xml:space="preserve">annen lov eller forskrift gitt med </w:t>
      </w:r>
      <w:r w:rsidRPr="00DA7552">
        <w:t>hjemmel</w:t>
      </w:r>
      <w:r>
        <w:t xml:space="preserve"> i lov, jf. </w:t>
      </w:r>
      <w:proofErr w:type="spellStart"/>
      <w:r w:rsidRPr="00DA7552">
        <w:t>offentleglova</w:t>
      </w:r>
      <w:proofErr w:type="spellEnd"/>
      <w:r w:rsidRPr="00DA7552">
        <w:t xml:space="preserve"> § 3.</w:t>
      </w:r>
    </w:p>
    <w:p w14:paraId="6758D9BF" w14:textId="77777777" w:rsidR="00FF52D8" w:rsidRPr="00200A6B" w:rsidRDefault="00000000" w:rsidP="00D9746F">
      <w:r>
        <w:t xml:space="preserve">Etter kontraktsinngåelse eller i løpet av karensperioden </w:t>
      </w:r>
      <w:r w:rsidRPr="009D5482">
        <w:t>kan</w:t>
      </w:r>
      <w:r>
        <w:t xml:space="preserve"> det bli fremmet innsynsbegjæringer i innleverte tilbud. For å sikre effektiv behandling av slike begjæringer </w:t>
      </w:r>
      <w:r w:rsidR="00085797" w:rsidRPr="00085797">
        <w:t>må</w:t>
      </w:r>
      <w:r>
        <w:t xml:space="preserve"> IKT Valdres </w:t>
      </w:r>
      <w:r w:rsidRPr="009D5482">
        <w:t>som oppdragsgiver</w:t>
      </w:r>
      <w:r>
        <w:t xml:space="preserve"> </w:t>
      </w:r>
      <w:r w:rsidR="00085797" w:rsidRPr="00085797">
        <w:t>ha mottatt</w:t>
      </w:r>
      <w:r>
        <w:t xml:space="preserve"> korrekt sladdede </w:t>
      </w:r>
      <w:r w:rsidRPr="009D5482">
        <w:t>versjoner</w:t>
      </w:r>
      <w:r>
        <w:t xml:space="preserve"> av </w:t>
      </w:r>
      <w:r w:rsidRPr="009D5482">
        <w:t>tilbudene. Leverandøren</w:t>
      </w:r>
      <w:r>
        <w:t xml:space="preserve"> har </w:t>
      </w:r>
      <w:r w:rsidRPr="009D5482">
        <w:t>ansvar</w:t>
      </w:r>
      <w:r>
        <w:t xml:space="preserve"> for å levere </w:t>
      </w:r>
      <w:r w:rsidRPr="009D5482">
        <w:t xml:space="preserve">en </w:t>
      </w:r>
      <w:r>
        <w:t>sladdet versjon av tilbudet</w:t>
      </w:r>
      <w:r w:rsidRPr="009D5482">
        <w:t xml:space="preserve"> og for </w:t>
      </w:r>
      <w:r>
        <w:t xml:space="preserve">å </w:t>
      </w:r>
      <w:r w:rsidRPr="009D5482">
        <w:t>begrunne</w:t>
      </w:r>
      <w:r>
        <w:t xml:space="preserve"> hvilke opplysninger som </w:t>
      </w:r>
      <w:r w:rsidRPr="009D5482">
        <w:t>foreslås unntatt</w:t>
      </w:r>
      <w:r>
        <w:t xml:space="preserve"> fra </w:t>
      </w:r>
      <w:r w:rsidRPr="009D5482">
        <w:t xml:space="preserve">innsyn. Leverandørens sladdede versjon og begrunnelse er et grunnlag for oppdragsgivers vurdering, men avgjør ikke i seg selv hva som kan unntas fra innsyn. Se punkt </w:t>
      </w:r>
      <w:r w:rsidR="00085797" w:rsidRPr="00085797">
        <w:t>3</w:t>
      </w:r>
      <w:r w:rsidRPr="009D5482">
        <w:t xml:space="preserve"> </w:t>
      </w:r>
      <w:r w:rsidRPr="009D5482">
        <w:rPr>
          <w:i/>
          <w:iCs/>
        </w:rPr>
        <w:t>Begrunnelse for sladding</w:t>
      </w:r>
      <w:r w:rsidRPr="009D5482">
        <w:t>, hvor leverandøren skal oppgi hvilken type informasjon som er sladdet, hvor opplysningene er plassert, aktuell hjemmel og begrunnelse for unntaket.</w:t>
      </w:r>
    </w:p>
    <w:p w14:paraId="1595BA33" w14:textId="77777777" w:rsidR="00FF52D8" w:rsidRPr="00200A6B" w:rsidRDefault="0021019C" w:rsidP="004F3B75">
      <w:pPr>
        <w:pStyle w:val="Overskrift4"/>
        <w:numPr>
          <w:ilvl w:val="0"/>
          <w:numId w:val="0"/>
        </w:numPr>
        <w:ind w:left="864"/>
      </w:pPr>
      <w:r w:rsidRPr="0021019C">
        <w:t xml:space="preserve">2.2 </w:t>
      </w:r>
      <w:r w:rsidR="00000000" w:rsidRPr="00521E55">
        <w:t>Unntak fra hovedregelen om innsyn</w:t>
      </w:r>
    </w:p>
    <w:p w14:paraId="0F95A086" w14:textId="77777777" w:rsidR="00FF52D8" w:rsidRPr="00200A6B" w:rsidRDefault="00000000" w:rsidP="00BF0DE3">
      <w:proofErr w:type="spellStart"/>
      <w:r w:rsidRPr="00440FF4">
        <w:rPr>
          <w:i/>
          <w:iCs/>
        </w:rPr>
        <w:t>O</w:t>
      </w:r>
      <w:r w:rsidRPr="00440FF4">
        <w:rPr>
          <w:i/>
          <w:iCs/>
        </w:rPr>
        <w:t>ffentleglova</w:t>
      </w:r>
      <w:proofErr w:type="spellEnd"/>
      <w:r>
        <w:t xml:space="preserve"> § 13 slår fast at </w:t>
      </w:r>
      <w:r w:rsidRPr="00440FF4">
        <w:t>opplysninger som er underlagt taushetsplikt i lov eller i medhold av lov, er unntatt fra innsyn.</w:t>
      </w:r>
      <w:r>
        <w:t xml:space="preserve"> Videre </w:t>
      </w:r>
      <w:r w:rsidRPr="00440FF4">
        <w:t>følger</w:t>
      </w:r>
      <w:r>
        <w:t xml:space="preserve"> det av </w:t>
      </w:r>
      <w:proofErr w:type="spellStart"/>
      <w:r w:rsidRPr="00440FF4">
        <w:t>offentleglova</w:t>
      </w:r>
      <w:proofErr w:type="spellEnd"/>
      <w:r>
        <w:t xml:space="preserve"> § 23</w:t>
      </w:r>
      <w:r w:rsidRPr="00440FF4">
        <w:t xml:space="preserve"> tredje</w:t>
      </w:r>
      <w:r>
        <w:t xml:space="preserve"> ledd at </w:t>
      </w:r>
      <w:r w:rsidRPr="00440FF4">
        <w:t>det kan gjøres unntak fra innsyn for tilbud</w:t>
      </w:r>
      <w:r w:rsidRPr="00440FF4">
        <w:t xml:space="preserve"> og protokoll etter regelverk gitt i medhold av anskaffelsesloven, frem til valg av leverandør er gjort. Dette innebærer at adgangen til å unnta tilbud og protokoll fra innsyn før tildeling er tidsavgrenset. Etter tildeling må eventuelle unntak fra innsyn hjemles konkret, og det er kun opplysninger som omfattes av et gyldig unntak</w:t>
      </w:r>
      <w:r w:rsidR="00E464D5" w:rsidRPr="00E464D5">
        <w:t>,</w:t>
      </w:r>
      <w:r w:rsidRPr="00440FF4">
        <w:t xml:space="preserve"> som kan sladdes.</w:t>
      </w:r>
    </w:p>
    <w:p w14:paraId="3C25AB6B" w14:textId="77777777" w:rsidR="00FF52D8" w:rsidRPr="00200A6B" w:rsidRDefault="001C14C5" w:rsidP="004F3B75">
      <w:pPr>
        <w:pStyle w:val="Overskrift4"/>
        <w:numPr>
          <w:ilvl w:val="0"/>
          <w:numId w:val="0"/>
        </w:numPr>
        <w:ind w:left="864"/>
      </w:pPr>
      <w:r w:rsidRPr="001C14C5">
        <w:lastRenderedPageBreak/>
        <w:t xml:space="preserve">2.3 </w:t>
      </w:r>
      <w:r w:rsidR="00000000" w:rsidRPr="00D86388">
        <w:t>Hva regnes som taushetsbelagte opplysninger?</w:t>
      </w:r>
    </w:p>
    <w:p w14:paraId="7AC70AFD" w14:textId="77777777" w:rsidR="00FF52D8" w:rsidRPr="00200A6B" w:rsidRDefault="009807FE" w:rsidP="00612696">
      <w:r w:rsidRPr="009807FE">
        <w:t>Nedenfor redegjøres</w:t>
      </w:r>
      <w:r w:rsidR="00000000">
        <w:t xml:space="preserve"> det </w:t>
      </w:r>
      <w:r w:rsidR="00000000">
        <w:t xml:space="preserve">for </w:t>
      </w:r>
      <w:r w:rsidRPr="009807FE">
        <w:t>hvilke typer</w:t>
      </w:r>
      <w:r w:rsidR="00000000">
        <w:t xml:space="preserve"> opplysninger som </w:t>
      </w:r>
      <w:r w:rsidRPr="009807FE">
        <w:t>kan</w:t>
      </w:r>
      <w:r w:rsidR="00000000">
        <w:t xml:space="preserve"> regnes </w:t>
      </w:r>
      <w:r w:rsidRPr="009807FE">
        <w:t xml:space="preserve">som </w:t>
      </w:r>
      <w:r w:rsidR="00000000">
        <w:t xml:space="preserve">«taushetsbelagte», og som dermed skal </w:t>
      </w:r>
      <w:r w:rsidRPr="009807FE">
        <w:t>unntas</w:t>
      </w:r>
      <w:r w:rsidR="00000000">
        <w:t xml:space="preserve"> offentlighet.</w:t>
      </w:r>
    </w:p>
    <w:p w14:paraId="45160C09" w14:textId="77777777" w:rsidR="00FF52D8" w:rsidRPr="00200A6B" w:rsidRDefault="00000000" w:rsidP="00CC2823">
      <w:r>
        <w:t>Forvaltningsloven av 10. februar 1967 § 13</w:t>
      </w:r>
      <w:r w:rsidRPr="00FC24AF">
        <w:t xml:space="preserve"> første</w:t>
      </w:r>
      <w:r>
        <w:t xml:space="preserve"> ledd nr.</w:t>
      </w:r>
      <w:r w:rsidRPr="00FC24AF">
        <w:t xml:space="preserve"> </w:t>
      </w:r>
      <w:r>
        <w:t xml:space="preserve">2 slår fast at det skal hindres at </w:t>
      </w:r>
      <w:r w:rsidRPr="00FC24AF">
        <w:t>uvedkommende</w:t>
      </w:r>
      <w:r>
        <w:t xml:space="preserve"> får kjennskap til «</w:t>
      </w:r>
      <w:r w:rsidRPr="00FC24AF">
        <w:t>tekniske innretninger og fremgangsmåter samt drifts- eller forretningsforhold som det vil være av konkurransemessig betydning å hemmeligholde av hensyn til den som opplysningen angår</w:t>
      </w:r>
      <w:r>
        <w:t xml:space="preserve">». Dette gjelder tilsvarende ved </w:t>
      </w:r>
      <w:r w:rsidRPr="00FC24AF">
        <w:t>gjennomføring</w:t>
      </w:r>
      <w:r>
        <w:t xml:space="preserve"> av offentlige anskaffelser, jf. FOA § 7-4 </w:t>
      </w:r>
      <w:r w:rsidRPr="00FC24AF">
        <w:t>første ledd.</w:t>
      </w:r>
    </w:p>
    <w:p w14:paraId="18A0CAB1" w14:textId="77777777" w:rsidR="00FF52D8" w:rsidRPr="00200A6B" w:rsidRDefault="00000000" w:rsidP="00391FB6">
      <w:r>
        <w:t xml:space="preserve">Taushetsplikten skal hindre spredning av forretningsrelaterte næringsopplysninger, </w:t>
      </w:r>
      <w:r w:rsidRPr="00A076DA">
        <w:t>for eksempel</w:t>
      </w:r>
      <w:r>
        <w:t xml:space="preserve"> produksjonsmetoder, produkter under utvikling, </w:t>
      </w:r>
      <w:r w:rsidRPr="00A076DA">
        <w:t>leveransestrategier,</w:t>
      </w:r>
      <w:r>
        <w:t xml:space="preserve"> forretningsmessige analyser og beregninger. For at </w:t>
      </w:r>
      <w:r w:rsidRPr="00A076DA">
        <w:t xml:space="preserve">slike opplysninger </w:t>
      </w:r>
      <w:r>
        <w:t>skal kunne holdes hemmelige</w:t>
      </w:r>
      <w:r w:rsidRPr="00A076DA">
        <w:t>,</w:t>
      </w:r>
      <w:r>
        <w:t xml:space="preserve"> må </w:t>
      </w:r>
      <w:r w:rsidRPr="00A076DA">
        <w:t>offentliggjøring</w:t>
      </w:r>
      <w:r>
        <w:t xml:space="preserve"> kunne føre til økonomisk tap eller redusert gevinst for </w:t>
      </w:r>
      <w:r w:rsidRPr="00A076DA">
        <w:t>virksomheten opplysningene gjelder.</w:t>
      </w:r>
      <w:r>
        <w:t xml:space="preserve"> Det stilles dermed både krav til </w:t>
      </w:r>
      <w:r w:rsidRPr="00A076DA">
        <w:t>typen</w:t>
      </w:r>
      <w:r>
        <w:t xml:space="preserve"> opplysninger og til et </w:t>
      </w:r>
      <w:r w:rsidRPr="00A076DA">
        <w:t>konkret skadepotensial</w:t>
      </w:r>
      <w:r>
        <w:t xml:space="preserve"> ved </w:t>
      </w:r>
      <w:r w:rsidRPr="00A076DA">
        <w:t>offentliggjøring.</w:t>
      </w:r>
      <w:r>
        <w:t xml:space="preserve"> Dette gjelder uavhengig av om mottakeren </w:t>
      </w:r>
      <w:r w:rsidRPr="00A076DA">
        <w:t>faktisk vil bruke opplysningene i egen virksomhet, gi dem videre eller p</w:t>
      </w:r>
      <w:r w:rsidRPr="00A076DA">
        <w:t>å annen måte bidra til risiko for tap.</w:t>
      </w:r>
    </w:p>
    <w:p w14:paraId="3B0C6A00" w14:textId="77777777" w:rsidR="00FF52D8" w:rsidRPr="00200A6B" w:rsidRDefault="00000000" w:rsidP="00EE30B7">
      <w:r w:rsidRPr="002C0868">
        <w:t>Opplysninger kan også være taushetsbelagte dersom de, alene eller sammenstilt med andre opplysninger, er egnet til å avsløre forretningsstrategi, vesentlige interne disposisjoner, planlagte nedskaleringer, fusjoner eller andre konkurransesensitive forhold.</w:t>
      </w:r>
    </w:p>
    <w:p w14:paraId="1AEAA9A7" w14:textId="77777777" w:rsidR="00FF52D8" w:rsidRPr="00200A6B" w:rsidRDefault="00000000" w:rsidP="006B5F60">
      <w:r>
        <w:t xml:space="preserve">Det er ikke adgang til å holde hemmelig opplysninger som er allment kjent i bransjen eller </w:t>
      </w:r>
      <w:r w:rsidR="00480107" w:rsidRPr="00480107">
        <w:t>tilgjengelige</w:t>
      </w:r>
      <w:r>
        <w:t xml:space="preserve"> andre steder. Dersom opplysningene </w:t>
      </w:r>
      <w:r w:rsidR="00480107" w:rsidRPr="00480107">
        <w:t>for eksempel</w:t>
      </w:r>
      <w:r>
        <w:t xml:space="preserve"> har vært omtalt i rapporter</w:t>
      </w:r>
      <w:r w:rsidR="00480107" w:rsidRPr="00480107">
        <w:t>,</w:t>
      </w:r>
      <w:r>
        <w:t xml:space="preserve"> eller </w:t>
      </w:r>
      <w:r>
        <w:t xml:space="preserve">anses </w:t>
      </w:r>
      <w:r w:rsidR="00480107" w:rsidRPr="00480107">
        <w:t xml:space="preserve">som </w:t>
      </w:r>
      <w:r>
        <w:t xml:space="preserve">allment kjent i den aktuelle </w:t>
      </w:r>
      <w:r w:rsidR="00480107" w:rsidRPr="00480107">
        <w:t>bransjen</w:t>
      </w:r>
      <w:r>
        <w:t xml:space="preserve">, vil </w:t>
      </w:r>
      <w:r w:rsidR="00480107" w:rsidRPr="00480107">
        <w:t xml:space="preserve">de </w:t>
      </w:r>
      <w:r>
        <w:t xml:space="preserve">ikke </w:t>
      </w:r>
      <w:r>
        <w:t xml:space="preserve">være underlagt taushetsplikt. </w:t>
      </w:r>
      <w:r>
        <w:t xml:space="preserve">Videre vil opplysninger som </w:t>
      </w:r>
      <w:r>
        <w:t xml:space="preserve">generelt kan ha uheldige virkninger for en virksomhet, </w:t>
      </w:r>
      <w:r w:rsidR="00480107" w:rsidRPr="00480107">
        <w:t>for eksempel</w:t>
      </w:r>
      <w:r>
        <w:t xml:space="preserve"> opplysninger om økonomisk stilling, administrative forhold, produksjonskapasitet, produksjonskvantum, forurensning</w:t>
      </w:r>
      <w:r w:rsidR="00480107" w:rsidRPr="00480107">
        <w:t xml:space="preserve"> eller</w:t>
      </w:r>
      <w:r>
        <w:t xml:space="preserve"> etisk </w:t>
      </w:r>
      <w:r w:rsidR="00480107" w:rsidRPr="00480107">
        <w:t>kritikkverdige leverandørkjeder, normalt</w:t>
      </w:r>
      <w:r>
        <w:t xml:space="preserve"> falle utenfor taushetsplikten.</w:t>
      </w:r>
    </w:p>
    <w:p w14:paraId="4D6A7203" w14:textId="77777777" w:rsidR="00FF52D8" w:rsidRPr="00200A6B" w:rsidRDefault="00000000" w:rsidP="003E3A6B">
      <w:r>
        <w:t xml:space="preserve">I tvilstilfeller må det </w:t>
      </w:r>
      <w:r w:rsidRPr="00216BE6">
        <w:t>foretas</w:t>
      </w:r>
      <w:r>
        <w:t xml:space="preserve"> en </w:t>
      </w:r>
      <w:r w:rsidRPr="00216BE6">
        <w:t xml:space="preserve">konkret </w:t>
      </w:r>
      <w:r>
        <w:t xml:space="preserve">vurdering av </w:t>
      </w:r>
      <w:r w:rsidRPr="00216BE6">
        <w:t xml:space="preserve">risikoen for </w:t>
      </w:r>
      <w:r>
        <w:t>skade</w:t>
      </w:r>
      <w:r w:rsidRPr="00216BE6">
        <w:t xml:space="preserve"> ved</w:t>
      </w:r>
      <w:r>
        <w:t xml:space="preserve"> offentliggjøring opp mot </w:t>
      </w:r>
      <w:r w:rsidRPr="00216BE6">
        <w:t xml:space="preserve">hensynet til </w:t>
      </w:r>
      <w:r>
        <w:t xml:space="preserve">åpenhet. Det kan </w:t>
      </w:r>
      <w:r w:rsidRPr="00216BE6">
        <w:t xml:space="preserve">blant annet </w:t>
      </w:r>
      <w:r w:rsidR="006F6936" w:rsidRPr="006F6936">
        <w:t>legges vekt på</w:t>
      </w:r>
      <w:r>
        <w:t xml:space="preserve"> praksis i bransjen</w:t>
      </w:r>
      <w:r w:rsidRPr="00216BE6">
        <w:t xml:space="preserve">, opplysningenes kommersielle betydning og </w:t>
      </w:r>
      <w:r>
        <w:t xml:space="preserve">behovet for tillit </w:t>
      </w:r>
      <w:r w:rsidRPr="00216BE6">
        <w:t>til anskaffelsesprosessen.</w:t>
      </w:r>
    </w:p>
    <w:p w14:paraId="79E0F514" w14:textId="77777777" w:rsidR="00FF52D8" w:rsidRPr="00200A6B" w:rsidRDefault="00000000" w:rsidP="00C861CB">
      <w:r w:rsidRPr="00967405">
        <w:t>Totalpris vil normalt ikke være taushetsbelagt. Enhetspriser, delpriser, kalkyler, marginer, detaljerte prisstrukturer, tekniske spesifikasjoner og andre detaljer i tilbudet kan etter en konkret vurdering være taushetsbelagte dersom offentliggjøring kan gi konkurrenter innsikt av konkurransemessig betydning. Det må i så fall begrunnes konkret hvorfor opplysningene har et reelt skadepotensial ved offentliggjøring.</w:t>
      </w:r>
    </w:p>
    <w:p w14:paraId="77F1DE1F" w14:textId="77777777" w:rsidR="00FF52D8" w:rsidRPr="00200A6B" w:rsidRDefault="00000000" w:rsidP="00966023">
      <w:r w:rsidRPr="00E62D07">
        <w:t>Leverandøren</w:t>
      </w:r>
      <w:r>
        <w:t xml:space="preserve"> må kunne begrunne hvorfor de sladdede opplysningene skal unntas </w:t>
      </w:r>
      <w:r w:rsidRPr="00E62D07">
        <w:t xml:space="preserve">fra innsyn. </w:t>
      </w:r>
      <w:r>
        <w:t xml:space="preserve">Oppdragsgiver </w:t>
      </w:r>
      <w:r w:rsidRPr="00E62D07">
        <w:t>kan ha</w:t>
      </w:r>
      <w:r>
        <w:t xml:space="preserve"> behov for</w:t>
      </w:r>
      <w:r w:rsidRPr="00E62D07">
        <w:t xml:space="preserve"> denne begrunnelsen</w:t>
      </w:r>
      <w:r>
        <w:t xml:space="preserve"> </w:t>
      </w:r>
      <w:r w:rsidR="00424560" w:rsidRPr="00424560">
        <w:t>ved behandling</w:t>
      </w:r>
      <w:r w:rsidRPr="00E62D07">
        <w:t xml:space="preserve"> av innsynskrav og i eventuell</w:t>
      </w:r>
      <w:r>
        <w:t xml:space="preserve"> dialog med den som </w:t>
      </w:r>
      <w:r>
        <w:t>ber om</w:t>
      </w:r>
      <w:r>
        <w:t xml:space="preserve"> innsyn. Oppdragsgiver har plikt til å foreta en selvstendig vurdering av hva som </w:t>
      </w:r>
      <w:r w:rsidRPr="00E62D07">
        <w:t>er</w:t>
      </w:r>
      <w:r>
        <w:t xml:space="preserve"> taushetsbelagt informasjon, men leverandørens vurdering </w:t>
      </w:r>
      <w:r w:rsidRPr="00E62D07">
        <w:t>og</w:t>
      </w:r>
      <w:r>
        <w:t xml:space="preserve"> begrunnelse er </w:t>
      </w:r>
      <w:r w:rsidRPr="00E62D07">
        <w:t>et viktig grunnlag for denne vurderingen.</w:t>
      </w:r>
    </w:p>
    <w:p w14:paraId="054FD3AF" w14:textId="77777777" w:rsidR="00FF52D8" w:rsidRPr="00200A6B" w:rsidRDefault="00000000" w:rsidP="00672536">
      <w:r>
        <w:t xml:space="preserve">Oppdragsgiver skal </w:t>
      </w:r>
      <w:r w:rsidRPr="00E74C3E">
        <w:t xml:space="preserve">også </w:t>
      </w:r>
      <w:r>
        <w:t xml:space="preserve">vurdere merinnsyn etter </w:t>
      </w:r>
      <w:proofErr w:type="spellStart"/>
      <w:r w:rsidRPr="00E74C3E">
        <w:t>offentleglova</w:t>
      </w:r>
      <w:proofErr w:type="spellEnd"/>
      <w:r>
        <w:t xml:space="preserve"> § 11</w:t>
      </w:r>
      <w:r w:rsidRPr="00E74C3E">
        <w:t>. En konkret og godt begrunnet sladding gjør det enklere for oppdragsgiver å vurdere om det foreligger grunnlag for unntak fra innsyn, og om det likevel bør gis merinnsyn.</w:t>
      </w:r>
    </w:p>
    <w:p w14:paraId="74D36782" w14:textId="77777777" w:rsidR="00FF52D8" w:rsidRPr="00200A6B" w:rsidRDefault="00C32AC6" w:rsidP="004F3B75">
      <w:pPr>
        <w:pStyle w:val="Overskrift4"/>
        <w:numPr>
          <w:ilvl w:val="0"/>
          <w:numId w:val="0"/>
        </w:numPr>
        <w:ind w:left="864"/>
      </w:pPr>
      <w:r w:rsidRPr="00C32AC6">
        <w:lastRenderedPageBreak/>
        <w:t xml:space="preserve">2.4 </w:t>
      </w:r>
      <w:r w:rsidR="00000000" w:rsidRPr="00EA1E86">
        <w:t>Sladding av unntatte opplysninger i tilbudet</w:t>
      </w:r>
    </w:p>
    <w:p w14:paraId="096EF819" w14:textId="27CAFAC5" w:rsidR="00FF52D8" w:rsidRPr="00200A6B" w:rsidRDefault="00000000" w:rsidP="00C50DAC">
      <w:r>
        <w:t>V</w:t>
      </w:r>
      <w:r>
        <w:t xml:space="preserve">ed sladding av </w:t>
      </w:r>
      <w:r w:rsidRPr="003F5830">
        <w:t>dokumentet</w:t>
      </w:r>
      <w:r>
        <w:t xml:space="preserve"> skal det fremgå hvor mye som er sladdet</w:t>
      </w:r>
      <w:r w:rsidRPr="003F5830">
        <w:t>. Antall</w:t>
      </w:r>
      <w:r>
        <w:t xml:space="preserve"> sladdede linjer og størrelsen på eventuelle sladdede tabeller skal </w:t>
      </w:r>
      <w:r w:rsidRPr="003F5830">
        <w:t xml:space="preserve">derfor </w:t>
      </w:r>
      <w:r w:rsidR="00CF7362">
        <w:t>komme frem</w:t>
      </w:r>
      <w:r>
        <w:t xml:space="preserve"> av den </w:t>
      </w:r>
      <w:r w:rsidRPr="003F5830">
        <w:t>sladdede</w:t>
      </w:r>
      <w:r>
        <w:t xml:space="preserve"> versjonen. Det er ikke tillatt å fjerne linjer, sidetall, overskrifter </w:t>
      </w:r>
      <w:r w:rsidRPr="003F5830">
        <w:t>eller</w:t>
      </w:r>
      <w:r>
        <w:t xml:space="preserve"> underoverskrifter fra </w:t>
      </w:r>
      <w:r w:rsidRPr="003F5830">
        <w:t xml:space="preserve">tilbudet. Formålet er at den som </w:t>
      </w:r>
      <w:r w:rsidR="00CF7362" w:rsidRPr="003F5830">
        <w:t>ber om</w:t>
      </w:r>
      <w:r w:rsidRPr="003F5830">
        <w:t xml:space="preserve"> innsyn</w:t>
      </w:r>
      <w:r w:rsidR="00FB5CA6" w:rsidRPr="00FB5CA6">
        <w:t>,</w:t>
      </w:r>
      <w:r w:rsidRPr="003F5830">
        <w:t xml:space="preserve"> skal kunne se tilbudets omfang og oppbygning, selv om enkelte opplysninger er unntatt fra innsyn.</w:t>
      </w:r>
    </w:p>
    <w:p w14:paraId="4ACDA688" w14:textId="77777777" w:rsidR="00FF52D8" w:rsidRPr="00200A6B" w:rsidRDefault="00000000" w:rsidP="002A7D72">
      <w:r w:rsidRPr="00DB5EF0">
        <w:t xml:space="preserve">Sladdingen må være teknisk irreversibel. Det er ikke tilstrekkelig å markere tekst med svart bakgrunn, legge bokser over tekst eller på annen måte skjule informasjon dersom opplysningene fortsatt kan kopieres, søkes frem, leses ved utskrift eller gjenopprettes elektronisk. Leverandøren må sikre at de sladdede opplysningene faktisk er fjernet eller gjort utilgjengelige i </w:t>
      </w:r>
      <w:r w:rsidRPr="00DB5EF0">
        <w:t>versjonen som leveres.</w:t>
      </w:r>
    </w:p>
    <w:p w14:paraId="3B709E97" w14:textId="77777777" w:rsidR="00FF52D8" w:rsidRPr="00200A6B" w:rsidRDefault="007E1FBC" w:rsidP="004F3B75">
      <w:pPr>
        <w:pStyle w:val="Overskrift4"/>
        <w:numPr>
          <w:ilvl w:val="0"/>
          <w:numId w:val="0"/>
        </w:numPr>
        <w:ind w:left="864"/>
      </w:pPr>
      <w:r w:rsidRPr="007E1FBC">
        <w:t xml:space="preserve">2.5 </w:t>
      </w:r>
      <w:r w:rsidR="00000000" w:rsidRPr="00170C07">
        <w:t>Retur ved feilaktig utført sladding</w:t>
      </w:r>
    </w:p>
    <w:p w14:paraId="2949DD4E" w14:textId="77777777" w:rsidR="00FF52D8" w:rsidRPr="00200A6B" w:rsidRDefault="00000000" w:rsidP="00C75122">
      <w:r w:rsidRPr="00AC1134">
        <w:t>D</w:t>
      </w:r>
      <w:r w:rsidRPr="00AC1134">
        <w:t xml:space="preserve">ersom oppdragsgiver vurderer at sladdingen ikke er gjennomført i tråd med denne veiledningen, må leverandøren påregne å få den sladdede versjonen i retur og bli bedt om å levere </w:t>
      </w:r>
      <w:r w:rsidR="005F4DB3" w:rsidRPr="005F4DB3">
        <w:t xml:space="preserve">en </w:t>
      </w:r>
      <w:r w:rsidRPr="00AC1134">
        <w:t>ny versjon eller ytterligere begrunnelse. Mangelfull, udokumentert eller teknisk reverserbar sladding kan medføre forsinkelser og økt ressursbruk både for leverandøren og oppdragsgiver. Leverandøren bes</w:t>
      </w:r>
      <w:r>
        <w:t xml:space="preserve"> derfor </w:t>
      </w:r>
      <w:r w:rsidRPr="00AC1134">
        <w:t>om å</w:t>
      </w:r>
      <w:r>
        <w:t xml:space="preserve"> gjøre en grundig </w:t>
      </w:r>
      <w:r w:rsidRPr="00AC1134">
        <w:t xml:space="preserve">og konkret </w:t>
      </w:r>
      <w:r>
        <w:t>vurdering av hvilke opplysninger som skal sladdes</w:t>
      </w:r>
      <w:r w:rsidRPr="00AC1134">
        <w:t xml:space="preserve">, og </w:t>
      </w:r>
      <w:r w:rsidRPr="00AC1134">
        <w:t xml:space="preserve">sikre </w:t>
      </w:r>
      <w:r>
        <w:t xml:space="preserve">at </w:t>
      </w:r>
      <w:r w:rsidRPr="00AC1134">
        <w:t xml:space="preserve">sladdingen </w:t>
      </w:r>
      <w:r>
        <w:t xml:space="preserve">gjennomføres i </w:t>
      </w:r>
      <w:r w:rsidRPr="00AC1134">
        <w:t>samsvar med kravene ovenfor</w:t>
      </w:r>
      <w:r>
        <w:t>.</w:t>
      </w:r>
    </w:p>
    <w:p w14:paraId="5F68B7DE" w14:textId="77777777" w:rsidR="00FF52D8" w:rsidRDefault="00000000">
      <w:pPr>
        <w:pStyle w:val="Overskrift1"/>
        <w:rPr>
          <w:rFonts w:asciiTheme="minorHAnsi" w:hAnsiTheme="minorHAnsi" w:cstheme="minorBidi"/>
        </w:rPr>
      </w:pPr>
      <w:r w:rsidRPr="00DC00EE">
        <w:rPr>
          <w:rFonts w:asciiTheme="minorHAnsi" w:hAnsiTheme="minorHAnsi" w:cstheme="minorBidi"/>
        </w:rPr>
        <w:t>Begrunnelse for sladding</w:t>
      </w:r>
    </w:p>
    <w:p w14:paraId="0730A463" w14:textId="23FB8164" w:rsidR="00FF52D8" w:rsidRPr="00200A6B" w:rsidRDefault="00000000" w:rsidP="00904FA4">
      <w:r w:rsidRPr="003339DA">
        <w:t>Leverandøren</w:t>
      </w:r>
      <w:r>
        <w:t xml:space="preserve"> bes om å </w:t>
      </w:r>
      <w:r w:rsidRPr="003339DA">
        <w:t>levere</w:t>
      </w:r>
      <w:r>
        <w:t xml:space="preserve"> en sladdet versjon av tilbudet </w:t>
      </w:r>
      <w:r w:rsidRPr="003339DA">
        <w:t xml:space="preserve">og </w:t>
      </w:r>
      <w:r>
        <w:t xml:space="preserve">fylle </w:t>
      </w:r>
      <w:r w:rsidRPr="003339DA">
        <w:t>ut</w:t>
      </w:r>
      <w:r>
        <w:t xml:space="preserve"> tabellen under. Det skal </w:t>
      </w:r>
      <w:r w:rsidR="00CF7362" w:rsidRPr="009D7894">
        <w:t>komme frem</w:t>
      </w:r>
      <w:r>
        <w:t xml:space="preserve"> hvilke opplysninger som er sladdet, hvor </w:t>
      </w:r>
      <w:r w:rsidRPr="003339DA">
        <w:t>opplysningene er plassert, hvilken type</w:t>
      </w:r>
      <w:r>
        <w:t xml:space="preserve"> opplysninger </w:t>
      </w:r>
      <w:r w:rsidRPr="003339DA">
        <w:t>det gjelder, hvilken hjemmel som påberopes, og</w:t>
      </w:r>
      <w:r>
        <w:t xml:space="preserve"> en </w:t>
      </w:r>
      <w:r w:rsidRPr="003339DA">
        <w:t xml:space="preserve">konkret </w:t>
      </w:r>
      <w:r>
        <w:t xml:space="preserve">begrunnelse for hvorfor </w:t>
      </w:r>
      <w:r w:rsidRPr="003339DA">
        <w:t>opplysningene skal unntas fra innsyn</w:t>
      </w:r>
      <w:r>
        <w:t xml:space="preserve"> eller </w:t>
      </w:r>
      <w:r w:rsidRPr="003339DA">
        <w:t xml:space="preserve">er </w:t>
      </w:r>
      <w:r>
        <w:t>underlagt taushetsplikt.</w:t>
      </w:r>
    </w:p>
    <w:p w14:paraId="1F7058CA" w14:textId="77777777" w:rsidR="00FF52D8" w:rsidRPr="00200A6B" w:rsidRDefault="00000000" w:rsidP="00E26D91">
      <w:r>
        <w:t xml:space="preserve">Oppdragsgiver gjør oppmerksom på at </w:t>
      </w:r>
      <w:r w:rsidRPr="00BA6AD4">
        <w:t xml:space="preserve">leverandørens sladdede versjon og begrunnelse </w:t>
      </w:r>
      <w:r>
        <w:t>er veiledende</w:t>
      </w:r>
      <w:r w:rsidRPr="00BA6AD4">
        <w:t>. Det er oppdragsgiver som har</w:t>
      </w:r>
      <w:r>
        <w:t xml:space="preserve"> det selvstendige </w:t>
      </w:r>
      <w:r w:rsidRPr="00BA6AD4">
        <w:t>ansvaret</w:t>
      </w:r>
      <w:r>
        <w:t xml:space="preserve"> for å vurdere allmennhetens innsynsrett. Dersom det etter tildeling blir bedt om innsyn i tilbudet, vil </w:t>
      </w:r>
      <w:r w:rsidRPr="00BA6AD4">
        <w:t>oppdragsgiver</w:t>
      </w:r>
      <w:r>
        <w:t xml:space="preserve"> vurdere </w:t>
      </w:r>
      <w:r w:rsidRPr="00BA6AD4">
        <w:t>leverandørens</w:t>
      </w:r>
      <w:r>
        <w:t xml:space="preserve"> sladdede versjon og begrunnelse før det </w:t>
      </w:r>
      <w:r w:rsidRPr="00BA6AD4">
        <w:t xml:space="preserve">tas stilling til hva som kan eller skal unntas fra </w:t>
      </w:r>
      <w:r>
        <w:t>innsyn.</w:t>
      </w:r>
    </w:p>
    <w:tbl>
      <w:tblPr>
        <w:tblW w:w="0" w:type="auto"/>
        <w:tblCellMar>
          <w:left w:w="0" w:type="dxa"/>
          <w:right w:w="0" w:type="dxa"/>
        </w:tblCellMar>
        <w:tblLook w:val="04A0" w:firstRow="1" w:lastRow="0" w:firstColumn="1" w:lastColumn="0" w:noHBand="0" w:noVBand="1"/>
      </w:tblPr>
      <w:tblGrid>
        <w:gridCol w:w="1942"/>
        <w:gridCol w:w="1198"/>
        <w:gridCol w:w="1909"/>
        <w:gridCol w:w="2626"/>
        <w:gridCol w:w="1331"/>
      </w:tblGrid>
      <w:tr w:rsidR="00BA6AD4" w14:paraId="0A58021D" w14:textId="77777777">
        <w:tc>
          <w:tcPr>
            <w:tcW w:w="1800" w:type="dxa"/>
            <w:tcBorders>
              <w:top w:val="single" w:sz="8" w:space="0" w:color="FFFFFF"/>
              <w:left w:val="single" w:sz="8" w:space="0" w:color="FFFFFF"/>
              <w:bottom w:val="single" w:sz="8" w:space="0" w:color="FFFFFF"/>
              <w:right w:val="single" w:sz="8" w:space="0" w:color="FFFFFF"/>
            </w:tcBorders>
            <w:shd w:val="clear" w:color="auto" w:fill="003283"/>
            <w:tcMar>
              <w:top w:w="28" w:type="dxa"/>
              <w:left w:w="85" w:type="dxa"/>
              <w:bottom w:w="28" w:type="dxa"/>
              <w:right w:w="85" w:type="dxa"/>
            </w:tcMar>
            <w:hideMark/>
          </w:tcPr>
          <w:p w14:paraId="001B083C" w14:textId="77777777" w:rsidR="00BA6AD4" w:rsidRDefault="00BA6AD4">
            <w:pPr>
              <w:spacing w:after="0"/>
              <w:rPr>
                <w:kern w:val="2"/>
                <w:lang w:eastAsia="nb-NO"/>
                <w14:ligatures w14:val="standardContextual"/>
              </w:rPr>
            </w:pPr>
            <w:r>
              <w:rPr>
                <w:b/>
                <w:bCs/>
                <w:color w:val="FFFFFF"/>
              </w:rPr>
              <w:t>Vedlegg/dokument</w:t>
            </w:r>
          </w:p>
        </w:tc>
        <w:tc>
          <w:tcPr>
            <w:tcW w:w="1200" w:type="dxa"/>
            <w:tcBorders>
              <w:top w:val="single" w:sz="8" w:space="0" w:color="FFFFFF"/>
              <w:left w:val="nil"/>
              <w:bottom w:val="single" w:sz="8" w:space="0" w:color="FFFFFF"/>
              <w:right w:val="single" w:sz="8" w:space="0" w:color="FFFFFF"/>
            </w:tcBorders>
            <w:shd w:val="clear" w:color="auto" w:fill="003283"/>
            <w:tcMar>
              <w:top w:w="28" w:type="dxa"/>
              <w:left w:w="85" w:type="dxa"/>
              <w:bottom w:w="28" w:type="dxa"/>
              <w:right w:w="85" w:type="dxa"/>
            </w:tcMar>
            <w:hideMark/>
          </w:tcPr>
          <w:p w14:paraId="28179F6B" w14:textId="77777777" w:rsidR="00BA6AD4" w:rsidRDefault="00BA6AD4">
            <w:pPr>
              <w:spacing w:after="0"/>
            </w:pPr>
            <w:r>
              <w:rPr>
                <w:b/>
                <w:bCs/>
                <w:color w:val="FFFFFF"/>
              </w:rPr>
              <w:t>Punkt/side</w:t>
            </w:r>
          </w:p>
        </w:tc>
        <w:tc>
          <w:tcPr>
            <w:tcW w:w="1950" w:type="dxa"/>
            <w:tcBorders>
              <w:top w:val="single" w:sz="8" w:space="0" w:color="FFFFFF"/>
              <w:left w:val="nil"/>
              <w:bottom w:val="single" w:sz="8" w:space="0" w:color="FFFFFF"/>
              <w:right w:val="single" w:sz="8" w:space="0" w:color="FFFFFF"/>
            </w:tcBorders>
            <w:shd w:val="clear" w:color="auto" w:fill="003283"/>
            <w:tcMar>
              <w:top w:w="28" w:type="dxa"/>
              <w:left w:w="85" w:type="dxa"/>
              <w:bottom w:w="28" w:type="dxa"/>
              <w:right w:w="85" w:type="dxa"/>
            </w:tcMar>
            <w:hideMark/>
          </w:tcPr>
          <w:p w14:paraId="2D4B9980" w14:textId="77777777" w:rsidR="00BA6AD4" w:rsidRDefault="00BA6AD4">
            <w:pPr>
              <w:spacing w:after="0"/>
            </w:pPr>
            <w:r>
              <w:rPr>
                <w:b/>
                <w:bCs/>
                <w:color w:val="FFFFFF"/>
              </w:rPr>
              <w:t>Type opplysning</w:t>
            </w:r>
          </w:p>
        </w:tc>
        <w:tc>
          <w:tcPr>
            <w:tcW w:w="2700" w:type="dxa"/>
            <w:tcBorders>
              <w:top w:val="single" w:sz="8" w:space="0" w:color="FFFFFF"/>
              <w:left w:val="nil"/>
              <w:bottom w:val="single" w:sz="8" w:space="0" w:color="FFFFFF"/>
              <w:right w:val="single" w:sz="8" w:space="0" w:color="FFFFFF"/>
            </w:tcBorders>
            <w:shd w:val="clear" w:color="auto" w:fill="003283"/>
            <w:tcMar>
              <w:top w:w="28" w:type="dxa"/>
              <w:left w:w="85" w:type="dxa"/>
              <w:bottom w:w="28" w:type="dxa"/>
              <w:right w:w="85" w:type="dxa"/>
            </w:tcMar>
            <w:hideMark/>
          </w:tcPr>
          <w:p w14:paraId="484C8C41" w14:textId="77777777" w:rsidR="00BA6AD4" w:rsidRDefault="00BA6AD4">
            <w:pPr>
              <w:spacing w:after="0"/>
            </w:pPr>
            <w:r>
              <w:rPr>
                <w:b/>
                <w:bCs/>
                <w:color w:val="FFFFFF"/>
              </w:rPr>
              <w:t>Begrunnelse for unntak</w:t>
            </w:r>
          </w:p>
        </w:tc>
        <w:tc>
          <w:tcPr>
            <w:tcW w:w="1350" w:type="dxa"/>
            <w:tcBorders>
              <w:top w:val="single" w:sz="8" w:space="0" w:color="FFFFFF"/>
              <w:left w:val="nil"/>
              <w:bottom w:val="single" w:sz="8" w:space="0" w:color="FFFFFF"/>
              <w:right w:val="single" w:sz="8" w:space="0" w:color="FFFFFF"/>
            </w:tcBorders>
            <w:shd w:val="clear" w:color="auto" w:fill="003283"/>
            <w:tcMar>
              <w:top w:w="28" w:type="dxa"/>
              <w:left w:w="85" w:type="dxa"/>
              <w:bottom w:w="28" w:type="dxa"/>
              <w:right w:w="85" w:type="dxa"/>
            </w:tcMar>
            <w:hideMark/>
          </w:tcPr>
          <w:p w14:paraId="3BAD81C4" w14:textId="77777777" w:rsidR="00BA6AD4" w:rsidRDefault="00BA6AD4">
            <w:pPr>
              <w:spacing w:after="0"/>
            </w:pPr>
            <w:r>
              <w:rPr>
                <w:b/>
                <w:bCs/>
                <w:color w:val="FFFFFF"/>
              </w:rPr>
              <w:t>Hjemmel</w:t>
            </w:r>
          </w:p>
        </w:tc>
      </w:tr>
      <w:tr w:rsidR="00BA6AD4" w14:paraId="17C9C684" w14:textId="77777777" w:rsidTr="00A3207E">
        <w:trPr>
          <w:trHeight w:val="435"/>
        </w:trPr>
        <w:tc>
          <w:tcPr>
            <w:tcW w:w="0" w:type="auto"/>
            <w:tcBorders>
              <w:top w:val="nil"/>
              <w:left w:val="single" w:sz="8" w:space="0" w:color="9AA2AB"/>
              <w:bottom w:val="single" w:sz="8" w:space="0" w:color="9AA2AB"/>
              <w:right w:val="single" w:sz="8" w:space="0" w:color="9AA2AB"/>
            </w:tcBorders>
            <w:tcMar>
              <w:top w:w="28" w:type="dxa"/>
              <w:left w:w="85" w:type="dxa"/>
              <w:bottom w:w="28" w:type="dxa"/>
              <w:right w:w="85" w:type="dxa"/>
            </w:tcMar>
            <w:hideMark/>
          </w:tcPr>
          <w:p w14:paraId="6D55D811" w14:textId="77777777" w:rsidR="00BA6AD4" w:rsidRDefault="00BA6AD4">
            <w:pPr>
              <w:spacing w:after="0"/>
            </w:pPr>
          </w:p>
        </w:tc>
        <w:tc>
          <w:tcPr>
            <w:tcW w:w="0" w:type="auto"/>
            <w:tcBorders>
              <w:top w:val="nil"/>
              <w:left w:val="nil"/>
              <w:bottom w:val="single" w:sz="8" w:space="0" w:color="9AA2AB"/>
              <w:right w:val="single" w:sz="8" w:space="0" w:color="9AA2AB"/>
            </w:tcBorders>
            <w:tcMar>
              <w:top w:w="28" w:type="dxa"/>
              <w:left w:w="85" w:type="dxa"/>
              <w:bottom w:w="28" w:type="dxa"/>
              <w:right w:w="85" w:type="dxa"/>
            </w:tcMar>
            <w:hideMark/>
          </w:tcPr>
          <w:p w14:paraId="114EF399" w14:textId="77777777" w:rsidR="00BA6AD4" w:rsidRDefault="00BA6AD4">
            <w:pPr>
              <w:spacing w:after="0"/>
            </w:pPr>
          </w:p>
        </w:tc>
        <w:tc>
          <w:tcPr>
            <w:tcW w:w="0" w:type="auto"/>
            <w:tcBorders>
              <w:top w:val="nil"/>
              <w:left w:val="nil"/>
              <w:bottom w:val="single" w:sz="8" w:space="0" w:color="9AA2AB"/>
              <w:right w:val="single" w:sz="8" w:space="0" w:color="9AA2AB"/>
            </w:tcBorders>
            <w:tcMar>
              <w:top w:w="28" w:type="dxa"/>
              <w:left w:w="85" w:type="dxa"/>
              <w:bottom w:w="28" w:type="dxa"/>
              <w:right w:w="85" w:type="dxa"/>
            </w:tcMar>
            <w:hideMark/>
          </w:tcPr>
          <w:p w14:paraId="1CE3EBF5" w14:textId="77777777" w:rsidR="00BA6AD4" w:rsidRDefault="00BA6AD4">
            <w:pPr>
              <w:spacing w:after="0"/>
            </w:pPr>
          </w:p>
        </w:tc>
        <w:tc>
          <w:tcPr>
            <w:tcW w:w="0" w:type="auto"/>
            <w:tcBorders>
              <w:top w:val="nil"/>
              <w:left w:val="nil"/>
              <w:bottom w:val="single" w:sz="8" w:space="0" w:color="9AA2AB"/>
              <w:right w:val="single" w:sz="8" w:space="0" w:color="9AA2AB"/>
            </w:tcBorders>
            <w:tcMar>
              <w:top w:w="28" w:type="dxa"/>
              <w:left w:w="85" w:type="dxa"/>
              <w:bottom w:w="28" w:type="dxa"/>
              <w:right w:w="85" w:type="dxa"/>
            </w:tcMar>
            <w:hideMark/>
          </w:tcPr>
          <w:p w14:paraId="6EDFD265" w14:textId="77777777" w:rsidR="00BA6AD4" w:rsidRDefault="00BA6AD4">
            <w:pPr>
              <w:spacing w:after="0"/>
            </w:pPr>
          </w:p>
        </w:tc>
        <w:tc>
          <w:tcPr>
            <w:tcW w:w="0" w:type="auto"/>
            <w:tcBorders>
              <w:top w:val="nil"/>
              <w:left w:val="nil"/>
              <w:bottom w:val="single" w:sz="8" w:space="0" w:color="9AA2AB"/>
              <w:right w:val="single" w:sz="8" w:space="0" w:color="9AA2AB"/>
            </w:tcBorders>
            <w:tcMar>
              <w:top w:w="28" w:type="dxa"/>
              <w:left w:w="85" w:type="dxa"/>
              <w:bottom w:w="28" w:type="dxa"/>
              <w:right w:w="85" w:type="dxa"/>
            </w:tcMar>
            <w:hideMark/>
          </w:tcPr>
          <w:p w14:paraId="1B9755F8" w14:textId="77777777" w:rsidR="00BA6AD4" w:rsidRDefault="00BA6AD4">
            <w:pPr>
              <w:spacing w:after="0"/>
            </w:pPr>
          </w:p>
        </w:tc>
      </w:tr>
      <w:tr w:rsidR="00BA6AD4" w14:paraId="39CED4E0" w14:textId="77777777" w:rsidTr="00A3207E">
        <w:trPr>
          <w:trHeight w:val="371"/>
        </w:trPr>
        <w:tc>
          <w:tcPr>
            <w:tcW w:w="0" w:type="auto"/>
            <w:tcBorders>
              <w:top w:val="nil"/>
              <w:left w:val="single" w:sz="8" w:space="0" w:color="9AA2AB"/>
              <w:bottom w:val="single" w:sz="8" w:space="0" w:color="9AA2AB"/>
              <w:right w:val="single" w:sz="8" w:space="0" w:color="9AA2AB"/>
            </w:tcBorders>
            <w:tcMar>
              <w:top w:w="28" w:type="dxa"/>
              <w:left w:w="85" w:type="dxa"/>
              <w:bottom w:w="28" w:type="dxa"/>
              <w:right w:w="85" w:type="dxa"/>
            </w:tcMar>
            <w:hideMark/>
          </w:tcPr>
          <w:p w14:paraId="32D16B01" w14:textId="77777777" w:rsidR="00BA6AD4" w:rsidRDefault="00BA6AD4">
            <w:pPr>
              <w:spacing w:after="0"/>
            </w:pPr>
          </w:p>
        </w:tc>
        <w:tc>
          <w:tcPr>
            <w:tcW w:w="0" w:type="auto"/>
            <w:tcBorders>
              <w:top w:val="nil"/>
              <w:left w:val="nil"/>
              <w:bottom w:val="single" w:sz="8" w:space="0" w:color="9AA2AB"/>
              <w:right w:val="single" w:sz="8" w:space="0" w:color="9AA2AB"/>
            </w:tcBorders>
            <w:tcMar>
              <w:top w:w="28" w:type="dxa"/>
              <w:left w:w="85" w:type="dxa"/>
              <w:bottom w:w="28" w:type="dxa"/>
              <w:right w:w="85" w:type="dxa"/>
            </w:tcMar>
            <w:hideMark/>
          </w:tcPr>
          <w:p w14:paraId="2702CFEB" w14:textId="77777777" w:rsidR="00BA6AD4" w:rsidRDefault="00BA6AD4">
            <w:pPr>
              <w:spacing w:after="0"/>
            </w:pPr>
          </w:p>
        </w:tc>
        <w:tc>
          <w:tcPr>
            <w:tcW w:w="0" w:type="auto"/>
            <w:tcBorders>
              <w:top w:val="nil"/>
              <w:left w:val="nil"/>
              <w:bottom w:val="single" w:sz="8" w:space="0" w:color="9AA2AB"/>
              <w:right w:val="single" w:sz="8" w:space="0" w:color="9AA2AB"/>
            </w:tcBorders>
            <w:tcMar>
              <w:top w:w="28" w:type="dxa"/>
              <w:left w:w="85" w:type="dxa"/>
              <w:bottom w:w="28" w:type="dxa"/>
              <w:right w:w="85" w:type="dxa"/>
            </w:tcMar>
            <w:hideMark/>
          </w:tcPr>
          <w:p w14:paraId="31EF39F2" w14:textId="77777777" w:rsidR="00BA6AD4" w:rsidRDefault="00BA6AD4">
            <w:pPr>
              <w:spacing w:after="0"/>
            </w:pPr>
          </w:p>
        </w:tc>
        <w:tc>
          <w:tcPr>
            <w:tcW w:w="0" w:type="auto"/>
            <w:tcBorders>
              <w:top w:val="nil"/>
              <w:left w:val="nil"/>
              <w:bottom w:val="single" w:sz="8" w:space="0" w:color="9AA2AB"/>
              <w:right w:val="single" w:sz="8" w:space="0" w:color="9AA2AB"/>
            </w:tcBorders>
            <w:tcMar>
              <w:top w:w="28" w:type="dxa"/>
              <w:left w:w="85" w:type="dxa"/>
              <w:bottom w:w="28" w:type="dxa"/>
              <w:right w:w="85" w:type="dxa"/>
            </w:tcMar>
            <w:hideMark/>
          </w:tcPr>
          <w:p w14:paraId="418ECF02" w14:textId="77777777" w:rsidR="00BA6AD4" w:rsidRDefault="00BA6AD4">
            <w:pPr>
              <w:spacing w:after="0"/>
            </w:pPr>
          </w:p>
        </w:tc>
        <w:tc>
          <w:tcPr>
            <w:tcW w:w="0" w:type="auto"/>
            <w:tcBorders>
              <w:top w:val="nil"/>
              <w:left w:val="nil"/>
              <w:bottom w:val="single" w:sz="8" w:space="0" w:color="9AA2AB"/>
              <w:right w:val="single" w:sz="8" w:space="0" w:color="9AA2AB"/>
            </w:tcBorders>
            <w:tcMar>
              <w:top w:w="28" w:type="dxa"/>
              <w:left w:w="85" w:type="dxa"/>
              <w:bottom w:w="28" w:type="dxa"/>
              <w:right w:w="85" w:type="dxa"/>
            </w:tcMar>
            <w:hideMark/>
          </w:tcPr>
          <w:p w14:paraId="1EA84E41" w14:textId="77777777" w:rsidR="00BA6AD4" w:rsidRDefault="00BA6AD4">
            <w:pPr>
              <w:spacing w:after="0"/>
            </w:pPr>
          </w:p>
        </w:tc>
      </w:tr>
      <w:tr w:rsidR="00BA6AD4" w14:paraId="0CA445EA" w14:textId="77777777" w:rsidTr="00A3207E">
        <w:trPr>
          <w:trHeight w:val="363"/>
        </w:trPr>
        <w:tc>
          <w:tcPr>
            <w:tcW w:w="0" w:type="auto"/>
            <w:tcBorders>
              <w:top w:val="nil"/>
              <w:left w:val="single" w:sz="8" w:space="0" w:color="9AA2AB"/>
              <w:bottom w:val="single" w:sz="8" w:space="0" w:color="9AA2AB"/>
              <w:right w:val="single" w:sz="8" w:space="0" w:color="9AA2AB"/>
            </w:tcBorders>
            <w:tcMar>
              <w:top w:w="28" w:type="dxa"/>
              <w:left w:w="85" w:type="dxa"/>
              <w:bottom w:w="28" w:type="dxa"/>
              <w:right w:w="85" w:type="dxa"/>
            </w:tcMar>
            <w:hideMark/>
          </w:tcPr>
          <w:p w14:paraId="4EC9773B" w14:textId="77777777" w:rsidR="00BA6AD4" w:rsidRDefault="00BA6AD4">
            <w:pPr>
              <w:spacing w:after="0"/>
            </w:pPr>
          </w:p>
        </w:tc>
        <w:tc>
          <w:tcPr>
            <w:tcW w:w="0" w:type="auto"/>
            <w:tcBorders>
              <w:top w:val="nil"/>
              <w:left w:val="nil"/>
              <w:bottom w:val="single" w:sz="8" w:space="0" w:color="9AA2AB"/>
              <w:right w:val="single" w:sz="8" w:space="0" w:color="9AA2AB"/>
            </w:tcBorders>
            <w:tcMar>
              <w:top w:w="28" w:type="dxa"/>
              <w:left w:w="85" w:type="dxa"/>
              <w:bottom w:w="28" w:type="dxa"/>
              <w:right w:w="85" w:type="dxa"/>
            </w:tcMar>
            <w:hideMark/>
          </w:tcPr>
          <w:p w14:paraId="21EFF4D1" w14:textId="77777777" w:rsidR="00BA6AD4" w:rsidRDefault="00BA6AD4">
            <w:pPr>
              <w:spacing w:after="0"/>
            </w:pPr>
          </w:p>
        </w:tc>
        <w:tc>
          <w:tcPr>
            <w:tcW w:w="0" w:type="auto"/>
            <w:tcBorders>
              <w:top w:val="nil"/>
              <w:left w:val="nil"/>
              <w:bottom w:val="single" w:sz="8" w:space="0" w:color="9AA2AB"/>
              <w:right w:val="single" w:sz="8" w:space="0" w:color="9AA2AB"/>
            </w:tcBorders>
            <w:tcMar>
              <w:top w:w="28" w:type="dxa"/>
              <w:left w:w="85" w:type="dxa"/>
              <w:bottom w:w="28" w:type="dxa"/>
              <w:right w:w="85" w:type="dxa"/>
            </w:tcMar>
            <w:hideMark/>
          </w:tcPr>
          <w:p w14:paraId="0D8FBC5D" w14:textId="77777777" w:rsidR="00BA6AD4" w:rsidRDefault="00BA6AD4">
            <w:pPr>
              <w:spacing w:after="0"/>
            </w:pPr>
          </w:p>
        </w:tc>
        <w:tc>
          <w:tcPr>
            <w:tcW w:w="0" w:type="auto"/>
            <w:tcBorders>
              <w:top w:val="nil"/>
              <w:left w:val="nil"/>
              <w:bottom w:val="single" w:sz="8" w:space="0" w:color="9AA2AB"/>
              <w:right w:val="single" w:sz="8" w:space="0" w:color="9AA2AB"/>
            </w:tcBorders>
            <w:tcMar>
              <w:top w:w="28" w:type="dxa"/>
              <w:left w:w="85" w:type="dxa"/>
              <w:bottom w:w="28" w:type="dxa"/>
              <w:right w:w="85" w:type="dxa"/>
            </w:tcMar>
            <w:hideMark/>
          </w:tcPr>
          <w:p w14:paraId="5E39E55E" w14:textId="77777777" w:rsidR="00BA6AD4" w:rsidRDefault="00BA6AD4">
            <w:pPr>
              <w:spacing w:after="0"/>
            </w:pPr>
          </w:p>
        </w:tc>
        <w:tc>
          <w:tcPr>
            <w:tcW w:w="0" w:type="auto"/>
            <w:tcBorders>
              <w:top w:val="nil"/>
              <w:left w:val="nil"/>
              <w:bottom w:val="single" w:sz="8" w:space="0" w:color="9AA2AB"/>
              <w:right w:val="single" w:sz="8" w:space="0" w:color="9AA2AB"/>
            </w:tcBorders>
            <w:tcMar>
              <w:top w:w="28" w:type="dxa"/>
              <w:left w:w="85" w:type="dxa"/>
              <w:bottom w:w="28" w:type="dxa"/>
              <w:right w:w="85" w:type="dxa"/>
            </w:tcMar>
            <w:hideMark/>
          </w:tcPr>
          <w:p w14:paraId="6E214015" w14:textId="77777777" w:rsidR="00BA6AD4" w:rsidRDefault="00BA6AD4">
            <w:pPr>
              <w:spacing w:after="0"/>
            </w:pPr>
          </w:p>
        </w:tc>
      </w:tr>
    </w:tbl>
    <w:p w14:paraId="4051028F" w14:textId="77777777" w:rsidR="00FF52D8" w:rsidRPr="00200A6B" w:rsidRDefault="00000000" w:rsidP="000D7E30">
      <w:r>
        <w:t xml:space="preserve">Mangelfull, udokumentert eller teknisk reverserbar sladding kan medføre at oppdragsgiver ber leverandøren levere </w:t>
      </w:r>
      <w:r w:rsidR="00F2334A" w:rsidRPr="00F2334A">
        <w:t xml:space="preserve">en </w:t>
      </w:r>
      <w:r>
        <w:t xml:space="preserve">ny sladdet versjon eller ytterligere begrunnelse. Oppdragsgiver vil uansett foreta en selvstendig vurdering av innsynskrav i tråd med </w:t>
      </w:r>
      <w:proofErr w:type="spellStart"/>
      <w:r>
        <w:t>offentleglova</w:t>
      </w:r>
      <w:proofErr w:type="spellEnd"/>
      <w:r>
        <w:t xml:space="preserve"> og gjeldende regler om taushetsplikt.</w:t>
      </w:r>
    </w:p>
    <w:p w14:paraId="25B7C79E" w14:textId="77777777" w:rsidR="00FF52D8" w:rsidRPr="00200A6B" w:rsidRDefault="00FF52D8" w:rsidP="00FF52D8"/>
    <w:sectPr w:rsidR="00FF52D8" w:rsidRPr="00200A6B" w:rsidSect="00E73E3F">
      <w:footerReference w:type="default" r:id="rId12"/>
      <w:footerReference w:type="first" r:id="rId13"/>
      <w:pgSz w:w="11906" w:h="16838"/>
      <w:pgMar w:top="1985" w:right="1440" w:bottom="1440" w:left="1440" w:header="708"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2EF84" w14:textId="77777777" w:rsidR="00A4146D" w:rsidRDefault="00A4146D" w:rsidP="002D7059">
      <w:pPr>
        <w:spacing w:after="0" w:line="240" w:lineRule="auto"/>
      </w:pPr>
      <w:r>
        <w:separator/>
      </w:r>
    </w:p>
  </w:endnote>
  <w:endnote w:type="continuationSeparator" w:id="0">
    <w:p w14:paraId="045D49A0" w14:textId="77777777" w:rsidR="00A4146D" w:rsidRDefault="00A4146D" w:rsidP="002D7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ngLiU">
    <w:panose1 w:val="02010609000101010101"/>
    <w:charset w:val="88"/>
    <w:family w:val="modern"/>
    <w:pitch w:val="fixed"/>
    <w:sig w:usb0="A00002FF" w:usb1="28CFFCFA" w:usb2="00000016" w:usb3="00000000" w:csb0="00100001"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401"/>
    </w:tblGrid>
    <w:tr w:rsidR="008319F5" w:rsidRPr="00214207" w14:paraId="227C89F6" w14:textId="77777777" w:rsidTr="00BD2FCB">
      <w:tc>
        <w:tcPr>
          <w:tcW w:w="6096" w:type="dxa"/>
        </w:tcPr>
        <w:p w14:paraId="7E5814FB" w14:textId="33A53DE4" w:rsidR="008319F5" w:rsidRPr="004A2601" w:rsidRDefault="008319F5" w:rsidP="008319F5">
          <w:pPr>
            <w:pStyle w:val="Bunntekst"/>
            <w:rPr>
              <w:lang w:val="nb-NO"/>
            </w:rPr>
          </w:pPr>
        </w:p>
      </w:tc>
      <w:tc>
        <w:tcPr>
          <w:tcW w:w="3401" w:type="dxa"/>
        </w:tcPr>
        <w:p w14:paraId="1429CBCF" w14:textId="77777777" w:rsidR="008319F5" w:rsidRPr="00FF52D8" w:rsidRDefault="00000000" w:rsidP="008319F5">
          <w:pPr>
            <w:jc w:val="right"/>
            <w:rPr>
              <w:sz w:val="18"/>
              <w:szCs w:val="18"/>
            </w:rPr>
          </w:pPr>
          <w:sdt>
            <w:sdtPr>
              <w:rPr>
                <w:b/>
                <w:bCs/>
                <w:i/>
                <w:iCs/>
                <w:color w:val="003283" w:themeColor="text2"/>
                <w:sz w:val="18"/>
                <w:szCs w:val="18"/>
              </w:rPr>
              <w:alias w:val="Klassifisering"/>
              <w:tag w:val="Klassifisering"/>
              <w:id w:val="106714249"/>
              <w:dataBinding w:xpath="/root[1]/klassifisering[1]" w:storeItemID="{649918F2-B2D5-43B2-A51C-414B10F8D08B}"/>
              <w:text w:multiLine="1"/>
            </w:sdtPr>
            <w:sdtContent>
              <w:r w:rsidR="008319F5" w:rsidRPr="00FF52D8">
                <w:rPr>
                  <w:b/>
                  <w:bCs/>
                  <w:i/>
                  <w:iCs/>
                  <w:color w:val="003283" w:themeColor="text2"/>
                  <w:sz w:val="18"/>
                  <w:szCs w:val="18"/>
                </w:rPr>
                <w:t xml:space="preserve"> </w:t>
              </w:r>
            </w:sdtContent>
          </w:sdt>
        </w:p>
      </w:tc>
    </w:tr>
    <w:tr w:rsidR="0086704C" w:rsidRPr="0086704C" w14:paraId="246E2B75" w14:textId="77777777" w:rsidTr="00BD2FCB">
      <w:tc>
        <w:tcPr>
          <w:tcW w:w="6096" w:type="dxa"/>
        </w:tcPr>
        <w:p w14:paraId="1EC559F7" w14:textId="4F3EC3FA" w:rsidR="0086704C" w:rsidRPr="0086704C" w:rsidRDefault="0086704C" w:rsidP="008319F5">
          <w:pPr>
            <w:pStyle w:val="Bunntekst"/>
            <w:rPr>
              <w:color w:val="003283" w:themeColor="text2"/>
              <w:lang w:val="nb-NO"/>
            </w:rPr>
          </w:pPr>
          <w:r w:rsidRPr="0086704C">
            <w:rPr>
              <w:color w:val="003283" w:themeColor="text2"/>
              <w:lang w:val="nb-NO"/>
            </w:rPr>
            <w:t>Bruksanvisning og begrunnelse for sladding av tilbud</w:t>
          </w:r>
        </w:p>
      </w:tc>
      <w:tc>
        <w:tcPr>
          <w:tcW w:w="3401" w:type="dxa"/>
        </w:tcPr>
        <w:p w14:paraId="14192A08" w14:textId="77777777" w:rsidR="0086704C" w:rsidRPr="0086704C" w:rsidRDefault="0086704C" w:rsidP="008319F5">
          <w:pPr>
            <w:jc w:val="right"/>
            <w:rPr>
              <w:i/>
              <w:iCs/>
              <w:color w:val="003283" w:themeColor="text2"/>
              <w:sz w:val="18"/>
              <w:szCs w:val="18"/>
            </w:rPr>
          </w:pPr>
          <w:r w:rsidRPr="0086704C">
            <w:rPr>
              <w:i/>
              <w:iCs/>
              <w:color w:val="003283" w:themeColor="text2"/>
              <w:sz w:val="18"/>
              <w:szCs w:val="18"/>
            </w:rPr>
            <w:t xml:space="preserve">Side </w:t>
          </w:r>
          <w:r w:rsidRPr="0086704C">
            <w:rPr>
              <w:b/>
              <w:bCs/>
              <w:i/>
              <w:iCs/>
              <w:color w:val="003283" w:themeColor="text2"/>
              <w:sz w:val="18"/>
              <w:szCs w:val="18"/>
            </w:rPr>
            <w:fldChar w:fldCharType="begin"/>
          </w:r>
          <w:r w:rsidRPr="0086704C">
            <w:rPr>
              <w:b/>
              <w:bCs/>
              <w:i/>
              <w:iCs/>
              <w:color w:val="003283" w:themeColor="text2"/>
              <w:sz w:val="18"/>
              <w:szCs w:val="18"/>
            </w:rPr>
            <w:instrText>PAGE  \* Arabic  \* MERGEFORMAT</w:instrText>
          </w:r>
          <w:r w:rsidRPr="0086704C">
            <w:rPr>
              <w:b/>
              <w:bCs/>
              <w:i/>
              <w:iCs/>
              <w:color w:val="003283" w:themeColor="text2"/>
              <w:sz w:val="18"/>
              <w:szCs w:val="18"/>
            </w:rPr>
            <w:fldChar w:fldCharType="separate"/>
          </w:r>
          <w:r w:rsidRPr="0086704C">
            <w:rPr>
              <w:b/>
              <w:bCs/>
              <w:i/>
              <w:iCs/>
              <w:color w:val="003283" w:themeColor="text2"/>
              <w:sz w:val="18"/>
              <w:szCs w:val="18"/>
            </w:rPr>
            <w:t>1</w:t>
          </w:r>
          <w:r w:rsidRPr="0086704C">
            <w:rPr>
              <w:b/>
              <w:bCs/>
              <w:i/>
              <w:iCs/>
              <w:color w:val="003283" w:themeColor="text2"/>
              <w:sz w:val="18"/>
              <w:szCs w:val="18"/>
            </w:rPr>
            <w:fldChar w:fldCharType="end"/>
          </w:r>
          <w:r w:rsidRPr="0086704C">
            <w:rPr>
              <w:i/>
              <w:iCs/>
              <w:color w:val="003283" w:themeColor="text2"/>
              <w:sz w:val="18"/>
              <w:szCs w:val="18"/>
            </w:rPr>
            <w:t xml:space="preserve"> av </w:t>
          </w:r>
          <w:r w:rsidRPr="0086704C">
            <w:rPr>
              <w:b/>
              <w:bCs/>
              <w:i/>
              <w:iCs/>
              <w:color w:val="003283" w:themeColor="text2"/>
              <w:sz w:val="18"/>
              <w:szCs w:val="18"/>
            </w:rPr>
            <w:fldChar w:fldCharType="begin"/>
          </w:r>
          <w:r w:rsidRPr="0086704C">
            <w:rPr>
              <w:b/>
              <w:bCs/>
              <w:i/>
              <w:iCs/>
              <w:color w:val="003283" w:themeColor="text2"/>
              <w:sz w:val="18"/>
              <w:szCs w:val="18"/>
            </w:rPr>
            <w:instrText>NUMPAGES  \* Arabic  \* MERGEFORMAT</w:instrText>
          </w:r>
          <w:r w:rsidRPr="0086704C">
            <w:rPr>
              <w:b/>
              <w:bCs/>
              <w:i/>
              <w:iCs/>
              <w:color w:val="003283" w:themeColor="text2"/>
              <w:sz w:val="18"/>
              <w:szCs w:val="18"/>
            </w:rPr>
            <w:fldChar w:fldCharType="separate"/>
          </w:r>
          <w:r w:rsidRPr="0086704C">
            <w:rPr>
              <w:b/>
              <w:bCs/>
              <w:i/>
              <w:iCs/>
              <w:color w:val="003283" w:themeColor="text2"/>
              <w:sz w:val="18"/>
              <w:szCs w:val="18"/>
            </w:rPr>
            <w:t>2</w:t>
          </w:r>
          <w:r w:rsidRPr="0086704C">
            <w:rPr>
              <w:b/>
              <w:bCs/>
              <w:i/>
              <w:iCs/>
              <w:color w:val="003283" w:themeColor="text2"/>
              <w:sz w:val="18"/>
              <w:szCs w:val="18"/>
            </w:rPr>
            <w:fldChar w:fldCharType="end"/>
          </w:r>
        </w:p>
      </w:tc>
    </w:tr>
  </w:tbl>
  <w:p w14:paraId="3185E3F9" w14:textId="77777777" w:rsidR="00214207" w:rsidRPr="0086704C" w:rsidRDefault="00214207" w:rsidP="008319F5">
    <w:pPr>
      <w:pStyle w:val="Bunntekst"/>
      <w:rPr>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401"/>
    </w:tblGrid>
    <w:tr w:rsidR="008319F5" w:rsidRPr="00214207" w14:paraId="413EBD7F" w14:textId="77777777" w:rsidTr="00BD2FCB">
      <w:tc>
        <w:tcPr>
          <w:tcW w:w="6096" w:type="dxa"/>
        </w:tcPr>
        <w:p w14:paraId="69FEE6C4" w14:textId="36248F96" w:rsidR="008319F5" w:rsidRPr="004A2601" w:rsidRDefault="008319F5" w:rsidP="008319F5">
          <w:pPr>
            <w:pStyle w:val="Bunntekst"/>
            <w:rPr>
              <w:lang w:val="nb-NO"/>
            </w:rPr>
          </w:pPr>
        </w:p>
      </w:tc>
      <w:tc>
        <w:tcPr>
          <w:tcW w:w="3401" w:type="dxa"/>
        </w:tcPr>
        <w:p w14:paraId="72E7CA09" w14:textId="77777777" w:rsidR="008319F5" w:rsidRPr="00FF52D8" w:rsidRDefault="00000000" w:rsidP="008319F5">
          <w:pPr>
            <w:jc w:val="right"/>
            <w:rPr>
              <w:sz w:val="18"/>
              <w:szCs w:val="18"/>
            </w:rPr>
          </w:pPr>
          <w:sdt>
            <w:sdtPr>
              <w:rPr>
                <w:b/>
                <w:bCs/>
                <w:i/>
                <w:iCs/>
                <w:color w:val="003283" w:themeColor="text2"/>
                <w:sz w:val="18"/>
                <w:szCs w:val="18"/>
              </w:rPr>
              <w:alias w:val="Klassifisering"/>
              <w:tag w:val="Klassifisering"/>
              <w:id w:val="-565800166"/>
              <w:dataBinding w:xpath="/root[1]/klassifisering[1]" w:storeItemID="{649918F2-B2D5-43B2-A51C-414B10F8D08B}"/>
              <w:text w:multiLine="1"/>
            </w:sdtPr>
            <w:sdtContent>
              <w:r w:rsidR="008319F5" w:rsidRPr="00FF52D8">
                <w:rPr>
                  <w:b/>
                  <w:bCs/>
                  <w:i/>
                  <w:iCs/>
                  <w:color w:val="003283" w:themeColor="text2"/>
                  <w:sz w:val="18"/>
                  <w:szCs w:val="18"/>
                </w:rPr>
                <w:t xml:space="preserve"> </w:t>
              </w:r>
            </w:sdtContent>
          </w:sdt>
        </w:p>
      </w:tc>
    </w:tr>
    <w:tr w:rsidR="0086704C" w:rsidRPr="0086704C" w14:paraId="0531B639" w14:textId="77777777" w:rsidTr="00BD2FCB">
      <w:tc>
        <w:tcPr>
          <w:tcW w:w="6096" w:type="dxa"/>
        </w:tcPr>
        <w:p w14:paraId="1EF87F4A" w14:textId="7A27CAD2" w:rsidR="0086704C" w:rsidRPr="0086704C" w:rsidRDefault="0086704C" w:rsidP="008319F5">
          <w:pPr>
            <w:pStyle w:val="Bunntekst"/>
            <w:rPr>
              <w:color w:val="003283" w:themeColor="text2"/>
              <w:lang w:val="nb-NO"/>
            </w:rPr>
          </w:pPr>
          <w:r w:rsidRPr="0086704C">
            <w:rPr>
              <w:color w:val="003283" w:themeColor="text2"/>
              <w:lang w:val="nb-NO"/>
            </w:rPr>
            <w:t>Bruksanvisning og begrunnelse for sladding av tilbud</w:t>
          </w:r>
        </w:p>
      </w:tc>
      <w:tc>
        <w:tcPr>
          <w:tcW w:w="3401" w:type="dxa"/>
        </w:tcPr>
        <w:p w14:paraId="3E37FEAB" w14:textId="77777777" w:rsidR="0086704C" w:rsidRPr="0086704C" w:rsidRDefault="0086704C" w:rsidP="008319F5">
          <w:pPr>
            <w:jc w:val="right"/>
            <w:rPr>
              <w:i/>
              <w:iCs/>
              <w:color w:val="003283" w:themeColor="text2"/>
              <w:sz w:val="18"/>
              <w:szCs w:val="18"/>
            </w:rPr>
          </w:pPr>
        </w:p>
      </w:tc>
    </w:tr>
  </w:tbl>
  <w:p w14:paraId="5F2862DA" w14:textId="77777777" w:rsidR="005C7D79" w:rsidRPr="0086704C" w:rsidRDefault="005C7D79" w:rsidP="008319F5">
    <w:pPr>
      <w:pStyle w:val="Bunntekst"/>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FB64F" w14:textId="77777777" w:rsidR="00A4146D" w:rsidRDefault="00A4146D" w:rsidP="002D7059">
      <w:pPr>
        <w:spacing w:after="0" w:line="240" w:lineRule="auto"/>
      </w:pPr>
      <w:r>
        <w:separator/>
      </w:r>
    </w:p>
  </w:footnote>
  <w:footnote w:type="continuationSeparator" w:id="0">
    <w:p w14:paraId="63310829" w14:textId="77777777" w:rsidR="00A4146D" w:rsidRDefault="00A4146D" w:rsidP="002D70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AB7D8E"/>
    <w:multiLevelType w:val="multilevel"/>
    <w:tmpl w:val="065680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2E5FA1"/>
    <w:multiLevelType w:val="multilevel"/>
    <w:tmpl w:val="EEB64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80071B"/>
    <w:multiLevelType w:val="multilevel"/>
    <w:tmpl w:val="0C70852E"/>
    <w:lvl w:ilvl="0">
      <w:start w:val="1"/>
      <w:numFmt w:val="decimal"/>
      <w:pStyle w:val="Overskrift1"/>
      <w:lvlText w:val="%1"/>
      <w:lvlJc w:val="left"/>
      <w:pPr>
        <w:ind w:left="432" w:hanging="432"/>
      </w:pPr>
    </w:lvl>
    <w:lvl w:ilvl="1">
      <w:start w:val="1"/>
      <w:numFmt w:val="decimal"/>
      <w:pStyle w:val="Overskrift2"/>
      <w:lvlText w:val="%2"/>
      <w:lvlJc w:val="left"/>
      <w:pPr>
        <w:ind w:left="576" w:hanging="576"/>
      </w:pPr>
      <w:rPr>
        <w:rFonts w:asciiTheme="majorHAnsi" w:eastAsiaTheme="majorEastAsia" w:hAnsiTheme="majorHAnsi" w:cstheme="majorBidi"/>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2FF178FF"/>
    <w:multiLevelType w:val="multilevel"/>
    <w:tmpl w:val="238AE952"/>
    <w:lvl w:ilvl="0">
      <w:start w:val="1"/>
      <w:numFmt w:val="decimal"/>
      <w:lvlText w:val="%1"/>
      <w:lvlJc w:val="left"/>
      <w:pPr>
        <w:ind w:left="360" w:hanging="360"/>
      </w:pPr>
      <w:rPr>
        <w:rFonts w:hint="default"/>
        <w:b w:val="0"/>
        <w:color w:val="2D1814" w:themeColor="accent1" w:themeShade="7F"/>
        <w:sz w:val="24"/>
      </w:rPr>
    </w:lvl>
    <w:lvl w:ilvl="1">
      <w:start w:val="1"/>
      <w:numFmt w:val="decimal"/>
      <w:lvlText w:val="%1.%2"/>
      <w:lvlJc w:val="left"/>
      <w:pPr>
        <w:ind w:left="1080" w:hanging="360"/>
      </w:pPr>
      <w:rPr>
        <w:rFonts w:hint="default"/>
        <w:b w:val="0"/>
        <w:color w:val="2D1814" w:themeColor="accent1" w:themeShade="7F"/>
        <w:sz w:val="24"/>
      </w:rPr>
    </w:lvl>
    <w:lvl w:ilvl="2">
      <w:start w:val="1"/>
      <w:numFmt w:val="decimal"/>
      <w:lvlText w:val="%1.%2.%3"/>
      <w:lvlJc w:val="left"/>
      <w:pPr>
        <w:ind w:left="2160" w:hanging="720"/>
      </w:pPr>
      <w:rPr>
        <w:rFonts w:hint="default"/>
        <w:b w:val="0"/>
        <w:color w:val="2D1814" w:themeColor="accent1" w:themeShade="7F"/>
        <w:sz w:val="24"/>
      </w:rPr>
    </w:lvl>
    <w:lvl w:ilvl="3">
      <w:start w:val="1"/>
      <w:numFmt w:val="decimal"/>
      <w:lvlText w:val="%1.%2.%3.%4"/>
      <w:lvlJc w:val="left"/>
      <w:pPr>
        <w:ind w:left="3240" w:hanging="1080"/>
      </w:pPr>
      <w:rPr>
        <w:rFonts w:hint="default"/>
        <w:b w:val="0"/>
        <w:color w:val="2D1814" w:themeColor="accent1" w:themeShade="7F"/>
        <w:sz w:val="24"/>
      </w:rPr>
    </w:lvl>
    <w:lvl w:ilvl="4">
      <w:start w:val="1"/>
      <w:numFmt w:val="decimal"/>
      <w:lvlText w:val="%1.%2.%3.%4.%5"/>
      <w:lvlJc w:val="left"/>
      <w:pPr>
        <w:ind w:left="3960" w:hanging="1080"/>
      </w:pPr>
      <w:rPr>
        <w:rFonts w:hint="default"/>
        <w:b w:val="0"/>
        <w:color w:val="2D1814" w:themeColor="accent1" w:themeShade="7F"/>
        <w:sz w:val="24"/>
      </w:rPr>
    </w:lvl>
    <w:lvl w:ilvl="5">
      <w:start w:val="1"/>
      <w:numFmt w:val="decimal"/>
      <w:lvlText w:val="%1.%2.%3.%4.%5.%6"/>
      <w:lvlJc w:val="left"/>
      <w:pPr>
        <w:ind w:left="5040" w:hanging="1440"/>
      </w:pPr>
      <w:rPr>
        <w:rFonts w:hint="default"/>
        <w:b w:val="0"/>
        <w:color w:val="2D1814" w:themeColor="accent1" w:themeShade="7F"/>
        <w:sz w:val="24"/>
      </w:rPr>
    </w:lvl>
    <w:lvl w:ilvl="6">
      <w:start w:val="1"/>
      <w:numFmt w:val="decimal"/>
      <w:lvlText w:val="%1.%2.%3.%4.%5.%6.%7"/>
      <w:lvlJc w:val="left"/>
      <w:pPr>
        <w:ind w:left="5760" w:hanging="1440"/>
      </w:pPr>
      <w:rPr>
        <w:rFonts w:hint="default"/>
        <w:b w:val="0"/>
        <w:color w:val="2D1814" w:themeColor="accent1" w:themeShade="7F"/>
        <w:sz w:val="24"/>
      </w:rPr>
    </w:lvl>
    <w:lvl w:ilvl="7">
      <w:start w:val="1"/>
      <w:numFmt w:val="decimal"/>
      <w:lvlText w:val="%1.%2.%3.%4.%5.%6.%7.%8"/>
      <w:lvlJc w:val="left"/>
      <w:pPr>
        <w:ind w:left="6840" w:hanging="1800"/>
      </w:pPr>
      <w:rPr>
        <w:rFonts w:hint="default"/>
        <w:b w:val="0"/>
        <w:color w:val="2D1814" w:themeColor="accent1" w:themeShade="7F"/>
        <w:sz w:val="24"/>
      </w:rPr>
    </w:lvl>
    <w:lvl w:ilvl="8">
      <w:start w:val="1"/>
      <w:numFmt w:val="decimal"/>
      <w:lvlText w:val="%1.%2.%3.%4.%5.%6.%7.%8.%9"/>
      <w:lvlJc w:val="left"/>
      <w:pPr>
        <w:ind w:left="7560" w:hanging="1800"/>
      </w:pPr>
      <w:rPr>
        <w:rFonts w:hint="default"/>
        <w:b w:val="0"/>
        <w:color w:val="2D1814" w:themeColor="accent1" w:themeShade="7F"/>
        <w:sz w:val="24"/>
      </w:rPr>
    </w:lvl>
  </w:abstractNum>
  <w:abstractNum w:abstractNumId="16"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F05175"/>
    <w:multiLevelType w:val="multilevel"/>
    <w:tmpl w:val="75A47972"/>
    <w:lvl w:ilvl="0">
      <w:start w:val="1"/>
      <w:numFmt w:val="decimal"/>
      <w:lvlText w:val="%1"/>
      <w:lvlJc w:val="left"/>
      <w:pPr>
        <w:ind w:left="360" w:hanging="360"/>
      </w:pPr>
      <w:rPr>
        <w:rFonts w:hint="default"/>
        <w:b w:val="0"/>
        <w:color w:val="2D1814" w:themeColor="accent1" w:themeShade="7F"/>
        <w:sz w:val="24"/>
      </w:rPr>
    </w:lvl>
    <w:lvl w:ilvl="1">
      <w:start w:val="1"/>
      <w:numFmt w:val="decimal"/>
      <w:lvlText w:val="%1.%2"/>
      <w:lvlJc w:val="left"/>
      <w:pPr>
        <w:ind w:left="360" w:hanging="360"/>
      </w:pPr>
      <w:rPr>
        <w:rFonts w:hint="default"/>
        <w:b w:val="0"/>
        <w:color w:val="2D1814" w:themeColor="accent1" w:themeShade="7F"/>
        <w:sz w:val="24"/>
      </w:rPr>
    </w:lvl>
    <w:lvl w:ilvl="2">
      <w:start w:val="1"/>
      <w:numFmt w:val="decimal"/>
      <w:lvlText w:val="%1.%2.%3"/>
      <w:lvlJc w:val="left"/>
      <w:pPr>
        <w:ind w:left="720" w:hanging="720"/>
      </w:pPr>
      <w:rPr>
        <w:rFonts w:hint="default"/>
        <w:b w:val="0"/>
        <w:color w:val="2D1814" w:themeColor="accent1" w:themeShade="7F"/>
        <w:sz w:val="24"/>
      </w:rPr>
    </w:lvl>
    <w:lvl w:ilvl="3">
      <w:start w:val="1"/>
      <w:numFmt w:val="decimal"/>
      <w:lvlText w:val="%1.%2.%3.%4"/>
      <w:lvlJc w:val="left"/>
      <w:pPr>
        <w:ind w:left="1080" w:hanging="1080"/>
      </w:pPr>
      <w:rPr>
        <w:rFonts w:hint="default"/>
        <w:b w:val="0"/>
        <w:color w:val="2D1814" w:themeColor="accent1" w:themeShade="7F"/>
        <w:sz w:val="24"/>
      </w:rPr>
    </w:lvl>
    <w:lvl w:ilvl="4">
      <w:start w:val="1"/>
      <w:numFmt w:val="decimal"/>
      <w:lvlText w:val="%1.%2.%3.%4.%5"/>
      <w:lvlJc w:val="left"/>
      <w:pPr>
        <w:ind w:left="1080" w:hanging="1080"/>
      </w:pPr>
      <w:rPr>
        <w:rFonts w:hint="default"/>
        <w:b w:val="0"/>
        <w:color w:val="2D1814" w:themeColor="accent1" w:themeShade="7F"/>
        <w:sz w:val="24"/>
      </w:rPr>
    </w:lvl>
    <w:lvl w:ilvl="5">
      <w:start w:val="1"/>
      <w:numFmt w:val="decimal"/>
      <w:lvlText w:val="%1.%2.%3.%4.%5.%6"/>
      <w:lvlJc w:val="left"/>
      <w:pPr>
        <w:ind w:left="1440" w:hanging="1440"/>
      </w:pPr>
      <w:rPr>
        <w:rFonts w:hint="default"/>
        <w:b w:val="0"/>
        <w:color w:val="2D1814" w:themeColor="accent1" w:themeShade="7F"/>
        <w:sz w:val="24"/>
      </w:rPr>
    </w:lvl>
    <w:lvl w:ilvl="6">
      <w:start w:val="1"/>
      <w:numFmt w:val="decimal"/>
      <w:lvlText w:val="%1.%2.%3.%4.%5.%6.%7"/>
      <w:lvlJc w:val="left"/>
      <w:pPr>
        <w:ind w:left="1440" w:hanging="1440"/>
      </w:pPr>
      <w:rPr>
        <w:rFonts w:hint="default"/>
        <w:b w:val="0"/>
        <w:color w:val="2D1814" w:themeColor="accent1" w:themeShade="7F"/>
        <w:sz w:val="24"/>
      </w:rPr>
    </w:lvl>
    <w:lvl w:ilvl="7">
      <w:start w:val="1"/>
      <w:numFmt w:val="decimal"/>
      <w:lvlText w:val="%1.%2.%3.%4.%5.%6.%7.%8"/>
      <w:lvlJc w:val="left"/>
      <w:pPr>
        <w:ind w:left="1800" w:hanging="1800"/>
      </w:pPr>
      <w:rPr>
        <w:rFonts w:hint="default"/>
        <w:b w:val="0"/>
        <w:color w:val="2D1814" w:themeColor="accent1" w:themeShade="7F"/>
        <w:sz w:val="24"/>
      </w:rPr>
    </w:lvl>
    <w:lvl w:ilvl="8">
      <w:start w:val="1"/>
      <w:numFmt w:val="decimal"/>
      <w:lvlText w:val="%1.%2.%3.%4.%5.%6.%7.%8.%9"/>
      <w:lvlJc w:val="left"/>
      <w:pPr>
        <w:ind w:left="1800" w:hanging="1800"/>
      </w:pPr>
      <w:rPr>
        <w:rFonts w:hint="default"/>
        <w:b w:val="0"/>
        <w:color w:val="2D1814" w:themeColor="accent1" w:themeShade="7F"/>
        <w:sz w:val="24"/>
      </w:rPr>
    </w:lvl>
  </w:abstractNum>
  <w:abstractNum w:abstractNumId="18"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81465040">
    <w:abstractNumId w:val="10"/>
  </w:num>
  <w:num w:numId="2" w16cid:durableId="1712458221">
    <w:abstractNumId w:val="11"/>
  </w:num>
  <w:num w:numId="3" w16cid:durableId="936209873">
    <w:abstractNumId w:val="18"/>
  </w:num>
  <w:num w:numId="4" w16cid:durableId="857891479">
    <w:abstractNumId w:val="16"/>
  </w:num>
  <w:num w:numId="5" w16cid:durableId="1206869818">
    <w:abstractNumId w:val="8"/>
  </w:num>
  <w:num w:numId="6" w16cid:durableId="616446149">
    <w:abstractNumId w:val="3"/>
  </w:num>
  <w:num w:numId="7" w16cid:durableId="1091858202">
    <w:abstractNumId w:val="2"/>
  </w:num>
  <w:num w:numId="8" w16cid:durableId="1303345156">
    <w:abstractNumId w:val="1"/>
  </w:num>
  <w:num w:numId="9" w16cid:durableId="593323235">
    <w:abstractNumId w:val="0"/>
  </w:num>
  <w:num w:numId="10" w16cid:durableId="1417901071">
    <w:abstractNumId w:val="9"/>
  </w:num>
  <w:num w:numId="11" w16cid:durableId="779179154">
    <w:abstractNumId w:val="7"/>
  </w:num>
  <w:num w:numId="12" w16cid:durableId="924147787">
    <w:abstractNumId w:val="6"/>
  </w:num>
  <w:num w:numId="13" w16cid:durableId="1940872067">
    <w:abstractNumId w:val="5"/>
  </w:num>
  <w:num w:numId="14" w16cid:durableId="198783615">
    <w:abstractNumId w:val="4"/>
  </w:num>
  <w:num w:numId="15" w16cid:durableId="1047337850">
    <w:abstractNumId w:val="14"/>
  </w:num>
  <w:num w:numId="16" w16cid:durableId="970403596">
    <w:abstractNumId w:val="13"/>
  </w:num>
  <w:num w:numId="17" w16cid:durableId="981231616">
    <w:abstractNumId w:val="15"/>
  </w:num>
  <w:num w:numId="18" w16cid:durableId="234635580">
    <w:abstractNumId w:val="12"/>
  </w:num>
  <w:num w:numId="19" w16cid:durableId="13722669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04C"/>
    <w:rsid w:val="000033A2"/>
    <w:rsid w:val="000069AE"/>
    <w:rsid w:val="00010B18"/>
    <w:rsid w:val="00083D59"/>
    <w:rsid w:val="00085797"/>
    <w:rsid w:val="00090264"/>
    <w:rsid w:val="00091C49"/>
    <w:rsid w:val="000A0452"/>
    <w:rsid w:val="000B3DBB"/>
    <w:rsid w:val="000B5DBE"/>
    <w:rsid w:val="0010118A"/>
    <w:rsid w:val="0011114F"/>
    <w:rsid w:val="00125C31"/>
    <w:rsid w:val="0013319B"/>
    <w:rsid w:val="00151079"/>
    <w:rsid w:val="001543FF"/>
    <w:rsid w:val="00156337"/>
    <w:rsid w:val="00161E14"/>
    <w:rsid w:val="001628D8"/>
    <w:rsid w:val="00170C07"/>
    <w:rsid w:val="001762C3"/>
    <w:rsid w:val="00180605"/>
    <w:rsid w:val="00187E98"/>
    <w:rsid w:val="0019541A"/>
    <w:rsid w:val="001B0ECC"/>
    <w:rsid w:val="001B16D8"/>
    <w:rsid w:val="001C14C5"/>
    <w:rsid w:val="001D3D66"/>
    <w:rsid w:val="001E30BC"/>
    <w:rsid w:val="001F5836"/>
    <w:rsid w:val="00200A6B"/>
    <w:rsid w:val="0021019C"/>
    <w:rsid w:val="00211EE4"/>
    <w:rsid w:val="00214207"/>
    <w:rsid w:val="00216BE6"/>
    <w:rsid w:val="0022053F"/>
    <w:rsid w:val="002324C9"/>
    <w:rsid w:val="00232A17"/>
    <w:rsid w:val="002361E1"/>
    <w:rsid w:val="00276309"/>
    <w:rsid w:val="00280EB0"/>
    <w:rsid w:val="00287C0E"/>
    <w:rsid w:val="00297A63"/>
    <w:rsid w:val="002C0868"/>
    <w:rsid w:val="002D7059"/>
    <w:rsid w:val="002E100F"/>
    <w:rsid w:val="00306F65"/>
    <w:rsid w:val="00331330"/>
    <w:rsid w:val="003339DA"/>
    <w:rsid w:val="0033623B"/>
    <w:rsid w:val="003370FE"/>
    <w:rsid w:val="003375D2"/>
    <w:rsid w:val="00357D49"/>
    <w:rsid w:val="00380BBB"/>
    <w:rsid w:val="00382F5A"/>
    <w:rsid w:val="003A5FFC"/>
    <w:rsid w:val="003E0466"/>
    <w:rsid w:val="003F2BE3"/>
    <w:rsid w:val="003F4B63"/>
    <w:rsid w:val="003F5830"/>
    <w:rsid w:val="00405B86"/>
    <w:rsid w:val="00424560"/>
    <w:rsid w:val="00433E5B"/>
    <w:rsid w:val="00435D7D"/>
    <w:rsid w:val="00440FF4"/>
    <w:rsid w:val="00443536"/>
    <w:rsid w:val="0045013D"/>
    <w:rsid w:val="00480107"/>
    <w:rsid w:val="004A2601"/>
    <w:rsid w:val="004A71BA"/>
    <w:rsid w:val="004B75EE"/>
    <w:rsid w:val="004C424A"/>
    <w:rsid w:val="004F3B75"/>
    <w:rsid w:val="004F6AA4"/>
    <w:rsid w:val="00512A3E"/>
    <w:rsid w:val="00521E55"/>
    <w:rsid w:val="00531294"/>
    <w:rsid w:val="00535CDB"/>
    <w:rsid w:val="0054412C"/>
    <w:rsid w:val="00545667"/>
    <w:rsid w:val="00553139"/>
    <w:rsid w:val="00571C9F"/>
    <w:rsid w:val="005900EE"/>
    <w:rsid w:val="005C26CE"/>
    <w:rsid w:val="005C7D79"/>
    <w:rsid w:val="005D7BE2"/>
    <w:rsid w:val="005E0858"/>
    <w:rsid w:val="005F4DB3"/>
    <w:rsid w:val="00601695"/>
    <w:rsid w:val="006318C2"/>
    <w:rsid w:val="00645430"/>
    <w:rsid w:val="006653AB"/>
    <w:rsid w:val="00696054"/>
    <w:rsid w:val="006A3A9D"/>
    <w:rsid w:val="006A5AC3"/>
    <w:rsid w:val="006C452C"/>
    <w:rsid w:val="006C6657"/>
    <w:rsid w:val="006D0387"/>
    <w:rsid w:val="006F6936"/>
    <w:rsid w:val="00712860"/>
    <w:rsid w:val="0073015A"/>
    <w:rsid w:val="0077068A"/>
    <w:rsid w:val="00771ABB"/>
    <w:rsid w:val="007766B9"/>
    <w:rsid w:val="007C3FC6"/>
    <w:rsid w:val="007C5E6C"/>
    <w:rsid w:val="007C7310"/>
    <w:rsid w:val="007C73BB"/>
    <w:rsid w:val="007E1FBC"/>
    <w:rsid w:val="007E6F37"/>
    <w:rsid w:val="007F1A59"/>
    <w:rsid w:val="0080022C"/>
    <w:rsid w:val="0080593A"/>
    <w:rsid w:val="00822F28"/>
    <w:rsid w:val="00826624"/>
    <w:rsid w:val="00830298"/>
    <w:rsid w:val="008319F5"/>
    <w:rsid w:val="00837AB0"/>
    <w:rsid w:val="00864F3F"/>
    <w:rsid w:val="0086704C"/>
    <w:rsid w:val="00867C1E"/>
    <w:rsid w:val="008709F5"/>
    <w:rsid w:val="00896E5C"/>
    <w:rsid w:val="008A7062"/>
    <w:rsid w:val="008B20DD"/>
    <w:rsid w:val="008B78E3"/>
    <w:rsid w:val="008D64B5"/>
    <w:rsid w:val="008E247C"/>
    <w:rsid w:val="009010AB"/>
    <w:rsid w:val="00914CD6"/>
    <w:rsid w:val="00920361"/>
    <w:rsid w:val="00947FC6"/>
    <w:rsid w:val="00966AA5"/>
    <w:rsid w:val="00967405"/>
    <w:rsid w:val="009807FE"/>
    <w:rsid w:val="009852EC"/>
    <w:rsid w:val="009917EC"/>
    <w:rsid w:val="009A364C"/>
    <w:rsid w:val="009B1399"/>
    <w:rsid w:val="009D5482"/>
    <w:rsid w:val="009D7894"/>
    <w:rsid w:val="009F4074"/>
    <w:rsid w:val="009F76D4"/>
    <w:rsid w:val="00A0412B"/>
    <w:rsid w:val="00A076DA"/>
    <w:rsid w:val="00A15D52"/>
    <w:rsid w:val="00A2283B"/>
    <w:rsid w:val="00A3207E"/>
    <w:rsid w:val="00A4146D"/>
    <w:rsid w:val="00A46DAE"/>
    <w:rsid w:val="00A56E7E"/>
    <w:rsid w:val="00A84574"/>
    <w:rsid w:val="00A9785F"/>
    <w:rsid w:val="00AA22E7"/>
    <w:rsid w:val="00AC1134"/>
    <w:rsid w:val="00AD156D"/>
    <w:rsid w:val="00AD4075"/>
    <w:rsid w:val="00AF0974"/>
    <w:rsid w:val="00AF279F"/>
    <w:rsid w:val="00B13583"/>
    <w:rsid w:val="00B32B42"/>
    <w:rsid w:val="00B403A0"/>
    <w:rsid w:val="00B51131"/>
    <w:rsid w:val="00B627DD"/>
    <w:rsid w:val="00B73C66"/>
    <w:rsid w:val="00B77844"/>
    <w:rsid w:val="00B834C3"/>
    <w:rsid w:val="00B925B3"/>
    <w:rsid w:val="00B94794"/>
    <w:rsid w:val="00BA6AD4"/>
    <w:rsid w:val="00BD2FCB"/>
    <w:rsid w:val="00BE04A6"/>
    <w:rsid w:val="00BF3383"/>
    <w:rsid w:val="00BF5EBC"/>
    <w:rsid w:val="00C3148F"/>
    <w:rsid w:val="00C324F4"/>
    <w:rsid w:val="00C32AC6"/>
    <w:rsid w:val="00C34B9D"/>
    <w:rsid w:val="00C37E5E"/>
    <w:rsid w:val="00C62555"/>
    <w:rsid w:val="00C75A35"/>
    <w:rsid w:val="00C768CE"/>
    <w:rsid w:val="00CE03B3"/>
    <w:rsid w:val="00CF183C"/>
    <w:rsid w:val="00CF7362"/>
    <w:rsid w:val="00D253D1"/>
    <w:rsid w:val="00D427B1"/>
    <w:rsid w:val="00D8034C"/>
    <w:rsid w:val="00D85E23"/>
    <w:rsid w:val="00D86388"/>
    <w:rsid w:val="00D915EC"/>
    <w:rsid w:val="00DA11A8"/>
    <w:rsid w:val="00DA7552"/>
    <w:rsid w:val="00DB5EF0"/>
    <w:rsid w:val="00DC00EE"/>
    <w:rsid w:val="00DC2F1B"/>
    <w:rsid w:val="00DD57B6"/>
    <w:rsid w:val="00DE6621"/>
    <w:rsid w:val="00DF6A09"/>
    <w:rsid w:val="00E464D5"/>
    <w:rsid w:val="00E56F45"/>
    <w:rsid w:val="00E62D07"/>
    <w:rsid w:val="00E71FCB"/>
    <w:rsid w:val="00E73E3F"/>
    <w:rsid w:val="00E74C3E"/>
    <w:rsid w:val="00EA1E86"/>
    <w:rsid w:val="00EA44C3"/>
    <w:rsid w:val="00EB397F"/>
    <w:rsid w:val="00EC09EE"/>
    <w:rsid w:val="00EE7D56"/>
    <w:rsid w:val="00F028DE"/>
    <w:rsid w:val="00F22F3D"/>
    <w:rsid w:val="00F2334A"/>
    <w:rsid w:val="00F922CC"/>
    <w:rsid w:val="00F9595E"/>
    <w:rsid w:val="00FA026D"/>
    <w:rsid w:val="00FA1216"/>
    <w:rsid w:val="00FB5CA6"/>
    <w:rsid w:val="00FB7DD1"/>
    <w:rsid w:val="00FC24AF"/>
    <w:rsid w:val="00FC7498"/>
    <w:rsid w:val="00FD3D9C"/>
    <w:rsid w:val="00FD527C"/>
    <w:rsid w:val="00FE0A25"/>
    <w:rsid w:val="00FF4380"/>
    <w:rsid w:val="00FF52D8"/>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749FE"/>
  <w15:chartTrackingRefBased/>
  <w15:docId w15:val="{AD1D353A-E017-4D38-9B0A-306A48734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9"/>
    <w:qFormat/>
    <w:rsid w:val="0033623B"/>
    <w:pPr>
      <w:keepNext/>
      <w:keepLines/>
      <w:numPr>
        <w:numId w:val="15"/>
      </w:numPr>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9"/>
    <w:unhideWhenUsed/>
    <w:qFormat/>
    <w:rsid w:val="0033623B"/>
    <w:pPr>
      <w:keepNext/>
      <w:keepLines/>
      <w:numPr>
        <w:ilvl w:val="1"/>
        <w:numId w:val="15"/>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4F6AA4"/>
    <w:pPr>
      <w:keepNext/>
      <w:keepLines/>
      <w:numPr>
        <w:ilvl w:val="2"/>
        <w:numId w:val="15"/>
      </w:numPr>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9"/>
    <w:unhideWhenUsed/>
    <w:qFormat/>
    <w:rsid w:val="00696054"/>
    <w:pPr>
      <w:keepNext/>
      <w:keepLines/>
      <w:numPr>
        <w:ilvl w:val="3"/>
        <w:numId w:val="15"/>
      </w:numPr>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unhideWhenUsed/>
    <w:qFormat/>
    <w:rsid w:val="0033623B"/>
    <w:pPr>
      <w:keepNext/>
      <w:keepLines/>
      <w:numPr>
        <w:ilvl w:val="4"/>
        <w:numId w:val="15"/>
      </w:numPr>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unhideWhenUsed/>
    <w:qFormat/>
    <w:rsid w:val="0033623B"/>
    <w:pPr>
      <w:keepNext/>
      <w:keepLines/>
      <w:numPr>
        <w:ilvl w:val="5"/>
        <w:numId w:val="15"/>
      </w:numPr>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unhideWhenUsed/>
    <w:qFormat/>
    <w:rsid w:val="0033623B"/>
    <w:pPr>
      <w:keepNext/>
      <w:keepLines/>
      <w:numPr>
        <w:ilvl w:val="6"/>
        <w:numId w:val="15"/>
      </w:numPr>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unhideWhenUsed/>
    <w:qFormat/>
    <w:rsid w:val="0033623B"/>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unhideWhenUsed/>
    <w:qFormat/>
    <w:rsid w:val="0033623B"/>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9"/>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semiHidden/>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9"/>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2"/>
      </w:numPr>
    </w:pPr>
  </w:style>
  <w:style w:type="numbering" w:styleId="1ai">
    <w:name w:val="Outline List 1"/>
    <w:basedOn w:val="Ingenliste"/>
    <w:uiPriority w:val="99"/>
    <w:semiHidden/>
    <w:unhideWhenUsed/>
    <w:rsid w:val="0033623B"/>
    <w:pPr>
      <w:numPr>
        <w:numId w:val="3"/>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4"/>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semiHidden/>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semiHidden/>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5"/>
      </w:numPr>
      <w:contextualSpacing/>
    </w:pPr>
  </w:style>
  <w:style w:type="paragraph" w:styleId="Nummerertliste2">
    <w:name w:val="List Number 2"/>
    <w:basedOn w:val="Normal"/>
    <w:uiPriority w:val="99"/>
    <w:semiHidden/>
    <w:unhideWhenUsed/>
    <w:rsid w:val="0033623B"/>
    <w:pPr>
      <w:numPr>
        <w:numId w:val="6"/>
      </w:numPr>
      <w:contextualSpacing/>
    </w:pPr>
  </w:style>
  <w:style w:type="paragraph" w:styleId="Nummerertliste3">
    <w:name w:val="List Number 3"/>
    <w:basedOn w:val="Normal"/>
    <w:uiPriority w:val="99"/>
    <w:semiHidden/>
    <w:unhideWhenUsed/>
    <w:rsid w:val="0033623B"/>
    <w:pPr>
      <w:numPr>
        <w:numId w:val="7"/>
      </w:numPr>
      <w:contextualSpacing/>
    </w:pPr>
  </w:style>
  <w:style w:type="paragraph" w:styleId="Nummerertliste4">
    <w:name w:val="List Number 4"/>
    <w:basedOn w:val="Normal"/>
    <w:uiPriority w:val="99"/>
    <w:semiHidden/>
    <w:unhideWhenUsed/>
    <w:rsid w:val="0033623B"/>
    <w:pPr>
      <w:numPr>
        <w:numId w:val="8"/>
      </w:numPr>
      <w:contextualSpacing/>
    </w:pPr>
  </w:style>
  <w:style w:type="paragraph" w:styleId="Nummerertliste5">
    <w:name w:val="List Number 5"/>
    <w:basedOn w:val="Normal"/>
    <w:uiPriority w:val="99"/>
    <w:semiHidden/>
    <w:unhideWhenUsed/>
    <w:rsid w:val="0033623B"/>
    <w:pPr>
      <w:numPr>
        <w:numId w:val="9"/>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0"/>
      </w:numPr>
      <w:contextualSpacing/>
    </w:pPr>
  </w:style>
  <w:style w:type="paragraph" w:styleId="Punktliste2">
    <w:name w:val="List Bullet 2"/>
    <w:basedOn w:val="Normal"/>
    <w:uiPriority w:val="99"/>
    <w:semiHidden/>
    <w:unhideWhenUsed/>
    <w:rsid w:val="0033623B"/>
    <w:pPr>
      <w:numPr>
        <w:numId w:val="11"/>
      </w:numPr>
      <w:contextualSpacing/>
    </w:pPr>
  </w:style>
  <w:style w:type="paragraph" w:styleId="Punktliste3">
    <w:name w:val="List Bullet 3"/>
    <w:basedOn w:val="Normal"/>
    <w:uiPriority w:val="99"/>
    <w:semiHidden/>
    <w:unhideWhenUsed/>
    <w:rsid w:val="0033623B"/>
    <w:pPr>
      <w:numPr>
        <w:numId w:val="12"/>
      </w:numPr>
      <w:contextualSpacing/>
    </w:pPr>
  </w:style>
  <w:style w:type="paragraph" w:styleId="Punktliste4">
    <w:name w:val="List Bullet 4"/>
    <w:basedOn w:val="Normal"/>
    <w:uiPriority w:val="99"/>
    <w:semiHidden/>
    <w:unhideWhenUsed/>
    <w:rsid w:val="0033623B"/>
    <w:pPr>
      <w:numPr>
        <w:numId w:val="13"/>
      </w:numPr>
      <w:contextualSpacing/>
    </w:pPr>
  </w:style>
  <w:style w:type="paragraph" w:styleId="Punktliste5">
    <w:name w:val="List Bullet 5"/>
    <w:basedOn w:val="Normal"/>
    <w:uiPriority w:val="99"/>
    <w:semiHidden/>
    <w:unhideWhenUsed/>
    <w:rsid w:val="0033623B"/>
    <w:pPr>
      <w:numPr>
        <w:numId w:val="14"/>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customStyle="1" w:styleId="SmartLink1">
    <w:name w:val="SmartLink1"/>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ehoe\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_x002d_post xmlns="801d2f4e-ce11-4705-ad07-a9f3ccb618ef" xsi:nil="true"/>
    <Funksjonalitet xmlns="801d2f4e-ce11-4705-ad07-a9f3ccb618ef" xsi:nil="true"/>
    <Arkivering xmlns="801d2f4e-ce11-4705-ad07-a9f3ccb618ef" xsi:nil="true"/>
    <Status xmlns="801d2f4e-ce11-4705-ad07-a9f3ccb618ef" xsi:nil="true"/>
    <Kommune xmlns="801d2f4e-ce11-4705-ad07-a9f3ccb618ef" xsi:nil="true"/>
    <Personopplysninger xmlns="801d2f4e-ce11-4705-ad07-a9f3ccb618ef" xsi:nil="true"/>
    <Alternativel_x00f8_sninger xmlns="801d2f4e-ce11-4705-ad07-a9f3ccb618ef" xsi:nil="true"/>
    <TaxCatchAll xmlns="52379b99-c561-46c5-b563-77af43727f9b" xsi:nil="true"/>
    <Innsender xmlns="801d2f4e-ce11-4705-ad07-a9f3ccb618ef">
      <UserInfo>
        <DisplayName/>
        <AccountId xsi:nil="true"/>
        <AccountType/>
      </UserInfo>
    </Innsender>
    <Dagensl_x00f8_sning xmlns="801d2f4e-ce11-4705-ad07-a9f3ccb618ef" xsi:nil="true"/>
    <Organisasjonogrutiner xmlns="801d2f4e-ce11-4705-ad07-a9f3ccb618ef" xsi:nil="true"/>
    <Omr_x00e5_de xmlns="801d2f4e-ce11-4705-ad07-a9f3ccb618ef" xsi:nil="true"/>
    <Gevinster xmlns="801d2f4e-ce11-4705-ad07-a9f3ccb618ef" xsi:nil="true"/>
    <lcf76f155ced4ddcb4097134ff3c332f xmlns="801d2f4e-ce11-4705-ad07-a9f3ccb618ef">
      <Terms xmlns="http://schemas.microsoft.com/office/infopath/2007/PartnerControls"/>
    </lcf76f155ced4ddcb4097134ff3c332f>
    <Interntnotat xmlns="801d2f4e-ce11-4705-ad07-a9f3ccb618ef" xsi:nil="true"/>
    <F_x00f8_ringer_x002c_rammer xmlns="801d2f4e-ce11-4705-ad07-a9f3ccb618ef" xsi:nil="true"/>
    <Form_x00e5_l xmlns="801d2f4e-ce11-4705-ad07-a9f3ccb618ef" xsi:nil="true"/>
    <Eksisterendel_x00f8_sning xmlns="801d2f4e-ce11-4705-ad07-a9f3ccb618e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85ECA0A2EED349A3A88FDDFB0B3231" ma:contentTypeVersion="34" ma:contentTypeDescription="Opprett et nytt dokument." ma:contentTypeScope="" ma:versionID="d081dc7ade8b79173ee0e92b64bb9a26">
  <xsd:schema xmlns:xsd="http://www.w3.org/2001/XMLSchema" xmlns:xs="http://www.w3.org/2001/XMLSchema" xmlns:p="http://schemas.microsoft.com/office/2006/metadata/properties" xmlns:ns2="801d2f4e-ce11-4705-ad07-a9f3ccb618ef" xmlns:ns3="52379b99-c561-46c5-b563-77af43727f9b" targetNamespace="http://schemas.microsoft.com/office/2006/metadata/properties" ma:root="true" ma:fieldsID="a561fb1c5c6becd0a56ab1a0ce35e2be" ns2:_="" ns3:_="">
    <xsd:import namespace="801d2f4e-ce11-4705-ad07-a9f3ccb618ef"/>
    <xsd:import namespace="52379b99-c561-46c5-b563-77af43727f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Innsender" minOccurs="0"/>
                <xsd:element ref="ns2:Status" minOccurs="0"/>
                <xsd:element ref="ns2:Kommune" minOccurs="0"/>
                <xsd:element ref="ns2:Form_x00e5_l" minOccurs="0"/>
                <xsd:element ref="ns2:Dagensl_x00f8_sning" minOccurs="0"/>
                <xsd:element ref="ns2:Eksisterendel_x00f8_sning" minOccurs="0"/>
                <xsd:element ref="ns2:F_x00f8_ringer_x002c_rammer" minOccurs="0"/>
                <xsd:element ref="ns2:Funksjonalitet" minOccurs="0"/>
                <xsd:element ref="ns2:Alternativel_x00f8_sninger" minOccurs="0"/>
                <xsd:element ref="ns2:Organisasjonogrutiner" minOccurs="0"/>
                <xsd:element ref="ns2:Gevinster" minOccurs="0"/>
                <xsd:element ref="ns2:Personopplysninger" minOccurs="0"/>
                <xsd:element ref="ns2:Arkivering" minOccurs="0"/>
                <xsd:element ref="ns2:Interntnotat" minOccurs="0"/>
                <xsd:element ref="ns2:Omr_x00e5_de" minOccurs="0"/>
                <xsd:element ref="ns2:E_x002d_post"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d2f4e-ce11-4705-ad07-a9f3ccb618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33e6622b-868c-44cd-8ee6-06b8d57d3f0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Innsender" ma:index="25" nillable="true" ma:displayName="Innsender" ma:format="Dropdown" ma:list="UserInfo" ma:SharePointGroup="0" ma:internalName="Innsend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6" nillable="true" ma:displayName="Status" ma:format="Dropdown" ma:internalName="Status">
      <xsd:simpleType>
        <xsd:restriction base="dms:Choice">
          <xsd:enumeration value="Ny"/>
          <xsd:enumeration value="Videre vurdering"/>
          <xsd:enumeration value="Godkjent"/>
          <xsd:enumeration value="Avvist"/>
        </xsd:restriction>
      </xsd:simpleType>
    </xsd:element>
    <xsd:element name="Kommune" ma:index="27" nillable="true" ma:displayName="Kommune" ma:format="Dropdown" ma:internalName="Kommune">
      <xsd:simpleType>
        <xsd:restriction base="dms:Choice">
          <xsd:enumeration value="Etnedal"/>
          <xsd:enumeration value="Nord-Aurdal"/>
          <xsd:enumeration value="Sør-Aurdal"/>
          <xsd:enumeration value="Vang"/>
          <xsd:enumeration value="Vestre Slidre"/>
          <xsd:enumeration value="Øystre Slidre"/>
          <xsd:enumeration value="Interkommunalt"/>
        </xsd:restriction>
      </xsd:simpleType>
    </xsd:element>
    <xsd:element name="Form_x00e5_l" ma:index="28" nillable="true" ma:displayName="Formål" ma:format="Dropdown" ma:internalName="Form_x00e5_l">
      <xsd:simpleType>
        <xsd:restriction base="dms:Note">
          <xsd:maxLength value="255"/>
        </xsd:restriction>
      </xsd:simpleType>
    </xsd:element>
    <xsd:element name="Dagensl_x00f8_sning" ma:index="29" nillable="true" ma:displayName="Dagens løsning" ma:format="Dropdown" ma:internalName="Dagensl_x00f8_sning">
      <xsd:simpleType>
        <xsd:restriction base="dms:Note">
          <xsd:maxLength value="255"/>
        </xsd:restriction>
      </xsd:simpleType>
    </xsd:element>
    <xsd:element name="Eksisterendel_x00f8_sning" ma:index="30" nillable="true" ma:displayName="Eksisterende løsning" ma:format="Dropdown" ma:internalName="Eksisterendel_x00f8_sning">
      <xsd:simpleType>
        <xsd:restriction base="dms:Note">
          <xsd:maxLength value="255"/>
        </xsd:restriction>
      </xsd:simpleType>
    </xsd:element>
    <xsd:element name="F_x00f8_ringer_x002c_rammer" ma:index="31" nillable="true" ma:displayName="Føringer, rammer" ma:format="Dropdown" ma:internalName="F_x00f8_ringer_x002c_rammer">
      <xsd:simpleType>
        <xsd:restriction base="dms:Note">
          <xsd:maxLength value="255"/>
        </xsd:restriction>
      </xsd:simpleType>
    </xsd:element>
    <xsd:element name="Funksjonalitet" ma:index="32" nillable="true" ma:displayName="Funksjonalitet" ma:format="Dropdown" ma:internalName="Funksjonalitet">
      <xsd:simpleType>
        <xsd:restriction base="dms:Note">
          <xsd:maxLength value="255"/>
        </xsd:restriction>
      </xsd:simpleType>
    </xsd:element>
    <xsd:element name="Alternativel_x00f8_sninger" ma:index="33" nillable="true" ma:displayName="Alternative løsninger" ma:format="Dropdown" ma:internalName="Alternativel_x00f8_sninger">
      <xsd:simpleType>
        <xsd:restriction base="dms:Note">
          <xsd:maxLength value="255"/>
        </xsd:restriction>
      </xsd:simpleType>
    </xsd:element>
    <xsd:element name="Organisasjonogrutiner" ma:index="34" nillable="true" ma:displayName="Organisasjon og rutiner" ma:format="Dropdown" ma:internalName="Organisasjonogrutiner">
      <xsd:simpleType>
        <xsd:restriction base="dms:Note">
          <xsd:maxLength value="255"/>
        </xsd:restriction>
      </xsd:simpleType>
    </xsd:element>
    <xsd:element name="Gevinster" ma:index="35" nillable="true" ma:displayName="Gevinster" ma:format="Dropdown" ma:internalName="Gevinster">
      <xsd:simpleType>
        <xsd:restriction base="dms:Note">
          <xsd:maxLength value="255"/>
        </xsd:restriction>
      </xsd:simpleType>
    </xsd:element>
    <xsd:element name="Personopplysninger" ma:index="36" nillable="true" ma:displayName="Personopplysninger" ma:format="Dropdown" ma:internalName="Personopplysninger">
      <xsd:simpleType>
        <xsd:restriction base="dms:Choice">
          <xsd:enumeration value="Ja"/>
          <xsd:enumeration value="Nei"/>
          <xsd:enumeration value="Vet ikke"/>
        </xsd:restriction>
      </xsd:simpleType>
    </xsd:element>
    <xsd:element name="Arkivering" ma:index="37" nillable="true" ma:displayName="Arkivering" ma:format="Dropdown" ma:internalName="Arkivering">
      <xsd:simpleType>
        <xsd:restriction base="dms:Note">
          <xsd:maxLength value="255"/>
        </xsd:restriction>
      </xsd:simpleType>
    </xsd:element>
    <xsd:element name="Interntnotat" ma:index="38" nillable="true" ma:displayName="Internt notat" ma:format="Dropdown" ma:internalName="Interntnotat">
      <xsd:simpleType>
        <xsd:restriction base="dms:Note">
          <xsd:maxLength value="255"/>
        </xsd:restriction>
      </xsd:simpleType>
    </xsd:element>
    <xsd:element name="Omr_x00e5_de" ma:index="39" nillable="true" ma:displayName="Område" ma:format="Dropdown" ma:internalName="Omr_x00e5_de">
      <xsd:simpleType>
        <xsd:restriction base="dms:Choice">
          <xsd:enumeration value="Administrasjon"/>
          <xsd:enumeration value="Oppvekst"/>
          <xsd:enumeration value="Helse og omsorg"/>
          <xsd:enumeration value="Teknisk"/>
        </xsd:restriction>
      </xsd:simpleType>
    </xsd:element>
    <xsd:element name="E_x002d_post" ma:index="40" nillable="true" ma:displayName="E-post" ma:format="Dropdown" ma:internalName="E_x002d_post">
      <xsd:simpleType>
        <xsd:restriction base="dms:Text">
          <xsd:maxLength value="255"/>
        </xsd:restriction>
      </xsd:simpleType>
    </xsd:element>
    <xsd:element name="MediaServiceSearchProperties" ma:index="4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379b99-c561-46c5-b563-77af43727f9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34f6359-651f-4dc9-b87b-7a1d7ac9694b}" ma:internalName="TaxCatchAll" ma:showField="CatchAllData" ma:web="52379b99-c561-46c5-b563-77af43727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klassifisering> </klassifisering>
</root>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80B6FE-052A-4D09-A3A3-90D0A2DE7320}">
  <ds:schemaRefs>
    <ds:schemaRef ds:uri="http://schemas.microsoft.com/office/2006/metadata/properties"/>
    <ds:schemaRef ds:uri="http://schemas.microsoft.com/office/infopath/2007/PartnerControls"/>
    <ds:schemaRef ds:uri="801d2f4e-ce11-4705-ad07-a9f3ccb618ef"/>
    <ds:schemaRef ds:uri="52379b99-c561-46c5-b563-77af43727f9b"/>
  </ds:schemaRefs>
</ds:datastoreItem>
</file>

<file path=customXml/itemProps2.xml><?xml version="1.0" encoding="utf-8"?>
<ds:datastoreItem xmlns:ds="http://schemas.openxmlformats.org/officeDocument/2006/customXml" ds:itemID="{645DFDFB-17B8-41A6-BDD7-BD68917AB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d2f4e-ce11-4705-ad07-a9f3ccb618ef"/>
    <ds:schemaRef ds:uri="52379b99-c561-46c5-b563-77af43727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918F2-B2D5-43B2-A51C-414B10F8D08B}">
  <ds:schemaRefs/>
</ds:datastoreItem>
</file>

<file path=customXml/itemProps4.xml><?xml version="1.0" encoding="utf-8"?>
<ds:datastoreItem xmlns:ds="http://schemas.openxmlformats.org/officeDocument/2006/customXml" ds:itemID="{4B2ABC33-B12A-4861-B497-28231EBE8B9B}">
  <ds:schemaRefs>
    <ds:schemaRef ds:uri="http://schemas.openxmlformats.org/officeDocument/2006/bibliography"/>
  </ds:schemaRefs>
</ds:datastoreItem>
</file>

<file path=customXml/itemProps5.xml><?xml version="1.0" encoding="utf-8"?>
<ds:datastoreItem xmlns:ds="http://schemas.openxmlformats.org/officeDocument/2006/customXml" ds:itemID="{624900B0-866A-4C03-8C74-BDD97971A45D}">
  <ds:schemaRefs>
    <ds:schemaRef ds:uri="http://schemas.microsoft.com/sharepoint/v3/contenttype/forms"/>
  </ds:schemaRefs>
</ds:datastoreItem>
</file>

<file path=docMetadata/LabelInfo.xml><?xml version="1.0" encoding="utf-8"?>
<clbl:labelList xmlns:clbl="http://schemas.microsoft.com/office/2020/mipLabelMetadata">
  <clbl:label id="{7621a5ea-b341-4dc4-a710-e3ee30fb7c8a}" enabled="1" method="Privileged" siteId="{2eff3ade-91bd-4fa2-b0d3-58eb532be2b5}" removed="0"/>
</clbl:labelList>
</file>

<file path=docProps/app.xml><?xml version="1.0" encoding="utf-8"?>
<Properties xmlns="http://schemas.openxmlformats.org/officeDocument/2006/extended-properties" xmlns:vt="http://schemas.openxmlformats.org/officeDocument/2006/docPropsVTypes">
  <Template>Sykehusinnkjøp - mal.dotm</Template>
  <TotalTime>37</TotalTime>
  <Pages>3</Pages>
  <Words>1229</Words>
  <Characters>7428</Characters>
  <Application>Microsoft Office Word</Application>
  <DocSecurity>0</DocSecurity>
  <Lines>130</Lines>
  <Paragraphs>42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Pagh-Skov</dc:creator>
  <cp:keywords/>
  <dc:description>Presisering i tekst, siste avsnitt i punkt 1.3 rundt merinnsyn og punkt 1.4 presisering av hva som er unntatt sladding.</dc:description>
  <cp:lastModifiedBy>Øyvind Skattebo</cp:lastModifiedBy>
  <cp:revision>25</cp:revision>
  <dcterms:created xsi:type="dcterms:W3CDTF">2025-11-19T09:07:00Z</dcterms:created>
  <dcterms:modified xsi:type="dcterms:W3CDTF">2026-07-10T07:42:00Z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0x0101004085ECA0A2EED349A3A88FDDFB0B3231</vt:lpwstr>
  </property>
  <property fmtid="{D5CDD505-2E9C-101B-9397-08002B2CF9AE}" pid="3" name="MediaServiceImageTags">
    <vt:lpwstr/>
  </property>
</Properties>
</file>